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071" w:rsidP="11A3830A" w:rsidRDefault="00356071" w14:paraId="3460D4A2" w14:textId="62B393B9">
      <w:pPr>
        <w:pStyle w:val="BodyText"/>
        <w:rPr>
          <w:rFonts w:ascii="Times New Roman"/>
          <w:sz w:val="20"/>
          <w:szCs w:val="20"/>
        </w:rPr>
      </w:pPr>
    </w:p>
    <w:p w:rsidR="00356071" w:rsidRDefault="00356071" w14:paraId="01CA199B" w14:textId="77777777">
      <w:pPr>
        <w:pStyle w:val="BodyText"/>
        <w:spacing w:before="1"/>
        <w:rPr>
          <w:rFonts w:ascii="Times New Roman"/>
          <w:sz w:val="26"/>
        </w:rPr>
      </w:pPr>
    </w:p>
    <w:p w:rsidR="000F0E01" w:rsidP="000F0E01" w:rsidRDefault="00574422" w14:paraId="1C9AA37D" w14:textId="7A76E26A">
      <w:pPr>
        <w:pStyle w:val="Title"/>
        <w:jc w:val="center"/>
        <w:rPr>
          <w:color w:val="404040"/>
        </w:rPr>
      </w:pPr>
      <w:r>
        <w:t xml:space="preserve">Clarifications Call for Proposals </w:t>
      </w:r>
    </w:p>
    <w:p w:rsidR="00356071" w:rsidP="11A3830A" w:rsidRDefault="00356071" w14:paraId="20356FE4" w14:textId="338F913F">
      <w:pPr>
        <w:pStyle w:val="Title"/>
        <w:jc w:val="center"/>
        <w:rPr>
          <w:color w:val="2B569A"/>
        </w:rPr>
      </w:pPr>
      <w:r w:rsidRPr="11A3830A" w:rsidR="00BB1897">
        <w:rPr>
          <w:color w:val="2B569A"/>
        </w:rPr>
        <w:t>UGA22003-</w:t>
      </w:r>
      <w:r w:rsidRPr="11A3830A" w:rsidR="00BC0DE4">
        <w:rPr>
          <w:color w:val="2B569A"/>
        </w:rPr>
        <w:t>10023</w:t>
      </w:r>
    </w:p>
    <w:p w:rsidR="00356071" w:rsidRDefault="00356071" w14:paraId="3D12374C" w14:textId="77777777">
      <w:pPr>
        <w:pStyle w:val="BodyText"/>
        <w:spacing w:before="7"/>
        <w:rPr>
          <w:b/>
          <w:i/>
          <w:sz w:val="13"/>
        </w:rPr>
      </w:pPr>
    </w:p>
    <w:tbl>
      <w:tblPr>
        <w:tblW w:w="8488" w:type="dxa"/>
        <w:tblInd w:w="17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2948"/>
        <w:gridCol w:w="29"/>
        <w:gridCol w:w="4980"/>
      </w:tblGrid>
      <w:tr w:rsidR="00356071" w:rsidTr="6A94F017" w14:paraId="010B1ED9" w14:textId="77777777">
        <w:trPr>
          <w:trHeight w:val="268"/>
        </w:trPr>
        <w:tc>
          <w:tcPr>
            <w:tcW w:w="531" w:type="dxa"/>
            <w:tcMar/>
          </w:tcPr>
          <w:p w:rsidRPr="00B65490" w:rsidR="00356071" w:rsidRDefault="00BC0DE4" w14:paraId="7EE044A8" w14:textId="4FEED950">
            <w:pPr>
              <w:pStyle w:val="TableParagraph"/>
              <w:spacing w:line="248" w:lineRule="exact"/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S/N</w:t>
            </w:r>
          </w:p>
        </w:tc>
        <w:tc>
          <w:tcPr>
            <w:tcW w:w="2948" w:type="dxa"/>
            <w:tcMar/>
          </w:tcPr>
          <w:p w:rsidRPr="00B65490" w:rsidR="00356071" w:rsidRDefault="00574422" w14:paraId="7CB6F05E" w14:textId="77777777">
            <w:pPr>
              <w:pStyle w:val="TableParagraph"/>
              <w:spacing w:line="248" w:lineRule="exact"/>
              <w:ind w:left="1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490">
              <w:rPr>
                <w:rFonts w:asciiTheme="minorHAnsi" w:hAnsiTheme="minorHAnsi" w:cstheme="minorHAnsi"/>
                <w:b/>
                <w:sz w:val="20"/>
                <w:szCs w:val="20"/>
              </w:rPr>
              <w:t>Question</w:t>
            </w:r>
          </w:p>
        </w:tc>
        <w:tc>
          <w:tcPr>
            <w:tcW w:w="5009" w:type="dxa"/>
            <w:gridSpan w:val="2"/>
            <w:tcMar/>
          </w:tcPr>
          <w:p w:rsidRPr="00B65490" w:rsidR="00356071" w:rsidRDefault="00574422" w14:paraId="1130326C" w14:textId="77777777">
            <w:pPr>
              <w:pStyle w:val="TableParagraph"/>
              <w:spacing w:line="248" w:lineRule="exact"/>
              <w:ind w:left="1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490">
              <w:rPr>
                <w:rFonts w:asciiTheme="minorHAnsi" w:hAnsiTheme="minorHAnsi" w:cstheme="minorHAnsi"/>
                <w:b/>
                <w:sz w:val="20"/>
                <w:szCs w:val="20"/>
              </w:rPr>
              <w:t>Response</w:t>
            </w:r>
          </w:p>
        </w:tc>
      </w:tr>
      <w:tr w:rsidR="00F624C2" w:rsidTr="6A94F017" w14:paraId="5608FC24" w14:textId="77777777">
        <w:trPr>
          <w:trHeight w:val="268"/>
        </w:trPr>
        <w:tc>
          <w:tcPr>
            <w:tcW w:w="531" w:type="dxa"/>
            <w:tcMar/>
          </w:tcPr>
          <w:p w:rsidRPr="00B65490" w:rsidR="00F624C2" w:rsidRDefault="009A6C53" w14:paraId="3C3E882D" w14:textId="36632E16">
            <w:pPr>
              <w:pStyle w:val="TableParagraph"/>
              <w:spacing w:line="248" w:lineRule="exact"/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7957" w:type="dxa"/>
            <w:gridSpan w:val="3"/>
            <w:tcMar/>
          </w:tcPr>
          <w:p w:rsidRPr="00B65490" w:rsidR="00F624C2" w:rsidP="7B1EDF6D" w:rsidRDefault="00F624C2" w14:paraId="4A205927" w14:textId="26E06C81">
            <w:pPr>
              <w:pStyle w:val="TableParagraph"/>
              <w:spacing w:line="248" w:lineRule="exact"/>
              <w:ind w:left="118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  <w:lang w:val="en-US"/>
              </w:rPr>
            </w:pPr>
            <w:r w:rsidRPr="3C8FAF63" w:rsidR="55049E99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  <w:lang w:val="en-US"/>
              </w:rPr>
              <w:t>Objectives</w:t>
            </w:r>
            <w:r w:rsidRPr="3C8FAF63" w:rsidR="39A76E0E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  <w:lang w:val="en-US"/>
              </w:rPr>
              <w:t>, results and activities</w:t>
            </w:r>
          </w:p>
        </w:tc>
      </w:tr>
      <w:tr w:rsidR="00F624C2" w:rsidTr="6A94F017" w14:paraId="00F66CB9" w14:textId="77777777">
        <w:trPr>
          <w:trHeight w:val="268"/>
        </w:trPr>
        <w:tc>
          <w:tcPr>
            <w:tcW w:w="531" w:type="dxa"/>
            <w:tcMar/>
          </w:tcPr>
          <w:p w:rsidRPr="009A6C53" w:rsidR="00F624C2" w:rsidRDefault="009A6C53" w14:paraId="4FAAD8D3" w14:textId="509CA5D0">
            <w:pPr>
              <w:pStyle w:val="TableParagraph"/>
              <w:spacing w:line="248" w:lineRule="exact"/>
              <w:ind w:left="12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A6C53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948" w:type="dxa"/>
            <w:tcMar/>
          </w:tcPr>
          <w:p w:rsidRPr="00BC0DE4" w:rsidR="00BC0DE4" w:rsidP="00BC0DE4" w:rsidRDefault="00BC0DE4" w14:paraId="1913BDBD" w14:textId="77777777">
            <w:pPr>
              <w:rPr>
                <w:sz w:val="20"/>
                <w:szCs w:val="20"/>
              </w:rPr>
            </w:pPr>
            <w:r w:rsidRPr="00BC0DE4">
              <w:rPr>
                <w:sz w:val="20"/>
                <w:szCs w:val="20"/>
              </w:rPr>
              <w:t xml:space="preserve">Are </w:t>
            </w:r>
            <w:r w:rsidRPr="00BC0DE4">
              <w:rPr>
                <w:sz w:val="20"/>
                <w:szCs w:val="20"/>
                <w:lang w:val="en-GB"/>
              </w:rPr>
              <w:t>c</w:t>
            </w:r>
            <w:r w:rsidRPr="00BC0DE4">
              <w:rPr>
                <w:sz w:val="20"/>
                <w:szCs w:val="20"/>
              </w:rPr>
              <w:t>ash</w:t>
            </w:r>
            <w:r w:rsidRPr="00BC0DE4">
              <w:rPr>
                <w:sz w:val="20"/>
                <w:szCs w:val="20"/>
                <w:lang w:val="en-GB"/>
              </w:rPr>
              <w:t>-</w:t>
            </w:r>
            <w:r w:rsidRPr="00BC0DE4">
              <w:rPr>
                <w:sz w:val="20"/>
                <w:szCs w:val="20"/>
              </w:rPr>
              <w:t>based grants (micro</w:t>
            </w:r>
            <w:r w:rsidRPr="00BC0DE4">
              <w:rPr>
                <w:sz w:val="20"/>
                <w:szCs w:val="20"/>
                <w:lang w:val="en-GB"/>
              </w:rPr>
              <w:t>-</w:t>
            </w:r>
            <w:r w:rsidRPr="00BC0DE4">
              <w:rPr>
                <w:sz w:val="20"/>
                <w:szCs w:val="20"/>
              </w:rPr>
              <w:t>business grants) different from start -up kits?</w:t>
            </w:r>
          </w:p>
          <w:p w:rsidRPr="00BC0DE4" w:rsidR="00F624C2" w:rsidRDefault="00F624C2" w14:paraId="684D046C" w14:textId="767F0805">
            <w:pPr>
              <w:pStyle w:val="TableParagraph"/>
              <w:spacing w:line="248" w:lineRule="exact"/>
              <w:ind w:left="119"/>
              <w:rPr>
                <w:rFonts w:asciiTheme="minorHAnsi" w:hAnsiTheme="minorHAnsi" w:cstheme="minorHAnsi"/>
                <w:bCs/>
                <w:sz w:val="20"/>
                <w:szCs w:val="20"/>
                <w:lang/>
              </w:rPr>
            </w:pPr>
          </w:p>
        </w:tc>
        <w:tc>
          <w:tcPr>
            <w:tcW w:w="5009" w:type="dxa"/>
            <w:gridSpan w:val="2"/>
            <w:tcMar/>
          </w:tcPr>
          <w:p w:rsidRPr="00B65490" w:rsidR="00F624C2" w:rsidP="7B1EDF6D" w:rsidRDefault="00BC0DE4" w14:paraId="6DAF810B" w14:textId="18042067">
            <w:pPr>
              <w:pStyle w:val="TableParagraph"/>
              <w:spacing w:line="248" w:lineRule="exact"/>
              <w:ind w:left="118"/>
              <w:rPr>
                <w:rFonts w:ascii="Calibri" w:hAnsi="Calibri" w:cs="Arial" w:asciiTheme="minorAscii" w:hAnsiTheme="minorAscii" w:cstheme="minorBidi"/>
                <w:sz w:val="20"/>
                <w:szCs w:val="20"/>
                <w:lang w:val="en-US"/>
              </w:rPr>
            </w:pPr>
            <w:r w:rsidRPr="1C9949CF" w:rsidR="39A76E0E">
              <w:rPr>
                <w:rFonts w:ascii="Calibri" w:hAnsi="Calibri" w:cs="Arial" w:asciiTheme="minorAscii" w:hAnsiTheme="minorAscii" w:cstheme="minorBidi"/>
                <w:sz w:val="20"/>
                <w:szCs w:val="20"/>
                <w:lang w:val="en-US"/>
              </w:rPr>
              <w:t xml:space="preserve">Yes, start-up kits are </w:t>
            </w:r>
            <w:r w:rsidRPr="1C9949CF" w:rsidR="39A76E0E">
              <w:rPr>
                <w:rFonts w:ascii="Calibri" w:hAnsi="Calibri" w:cs="Arial" w:asciiTheme="minorAscii" w:hAnsiTheme="minorAscii" w:cstheme="minorBidi"/>
                <w:sz w:val="20"/>
                <w:szCs w:val="20"/>
                <w:lang w:val="en-US"/>
              </w:rPr>
              <w:t>procured</w:t>
            </w:r>
            <w:r w:rsidRPr="1C9949CF" w:rsidR="39A76E0E">
              <w:rPr>
                <w:rFonts w:ascii="Calibri" w:hAnsi="Calibri" w:cs="Arial" w:asciiTheme="minorAscii" w:hAnsiTheme="minorAscii" w:cstheme="minorBidi"/>
                <w:sz w:val="20"/>
                <w:szCs w:val="20"/>
                <w:lang w:val="en-US"/>
              </w:rPr>
              <w:t xml:space="preserve"> by the grantee and a form of in-kind support while micro-business grants </w:t>
            </w:r>
            <w:r w:rsidRPr="1C9949CF" w:rsidR="39A76E0E">
              <w:rPr>
                <w:rFonts w:ascii="Calibri" w:hAnsi="Calibri" w:cs="Arial" w:asciiTheme="minorAscii" w:hAnsiTheme="minorAscii" w:cstheme="minorBidi"/>
                <w:sz w:val="20"/>
                <w:szCs w:val="20"/>
                <w:lang w:val="en-US"/>
              </w:rPr>
              <w:t>constitute</w:t>
            </w:r>
            <w:r w:rsidRPr="1C9949CF" w:rsidR="39A76E0E">
              <w:rPr>
                <w:rFonts w:ascii="Calibri" w:hAnsi="Calibri" w:cs="Arial" w:asciiTheme="minorAscii" w:hAnsiTheme="minorAscii" w:cstheme="minorBidi"/>
                <w:sz w:val="20"/>
                <w:szCs w:val="20"/>
                <w:lang w:val="en-US"/>
              </w:rPr>
              <w:t xml:space="preserve"> financial support through sub-grants</w:t>
            </w:r>
            <w:r w:rsidRPr="1C9949CF" w:rsidR="27A22C88">
              <w:rPr>
                <w:rFonts w:ascii="Calibri" w:hAnsi="Calibri" w:cs="Arial" w:asciiTheme="minorAscii" w:hAnsiTheme="minorAscii" w:cstheme="minorBidi"/>
                <w:sz w:val="20"/>
                <w:szCs w:val="20"/>
                <w:lang w:val="en-US"/>
              </w:rPr>
              <w:t>.</w:t>
            </w:r>
          </w:p>
        </w:tc>
      </w:tr>
      <w:tr w:rsidR="00C23AB4" w:rsidTr="6A94F017" w14:paraId="5B998BD1" w14:textId="77777777">
        <w:trPr>
          <w:trHeight w:val="268"/>
        </w:trPr>
        <w:tc>
          <w:tcPr>
            <w:tcW w:w="531" w:type="dxa"/>
            <w:tcMar/>
          </w:tcPr>
          <w:p w:rsidRPr="009A6C53" w:rsidR="00C23AB4" w:rsidRDefault="00E6039D" w14:paraId="45C50521" w14:textId="74E4BB5E">
            <w:pPr>
              <w:pStyle w:val="TableParagraph"/>
              <w:spacing w:line="248" w:lineRule="exact"/>
              <w:ind w:left="12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948" w:type="dxa"/>
            <w:tcMar/>
          </w:tcPr>
          <w:p w:rsidRPr="00C23AB4" w:rsidR="00C23AB4" w:rsidP="00C23AB4" w:rsidRDefault="00C23AB4" w14:paraId="2C95BE53" w14:textId="44A88DFF">
            <w:pPr>
              <w:rPr>
                <w:sz w:val="20"/>
                <w:szCs w:val="20"/>
              </w:rPr>
            </w:pPr>
            <w:r w:rsidRPr="00C23AB4">
              <w:rPr>
                <w:sz w:val="20"/>
                <w:szCs w:val="20"/>
              </w:rPr>
              <w:t xml:space="preserve">What percentages of </w:t>
            </w:r>
            <w:r w:rsidRPr="00C23AB4">
              <w:rPr>
                <w:sz w:val="20"/>
                <w:szCs w:val="20"/>
                <w:lang w:val="en-GB"/>
              </w:rPr>
              <w:t>women</w:t>
            </w:r>
            <w:r w:rsidRPr="00C23AB4">
              <w:rPr>
                <w:sz w:val="20"/>
                <w:szCs w:val="20"/>
              </w:rPr>
              <w:t>, refugees, youths should be considered?</w:t>
            </w:r>
            <w:r w:rsidRPr="00C23AB4">
              <w:rPr>
                <w:sz w:val="20"/>
                <w:szCs w:val="20"/>
              </w:rPr>
              <w:t xml:space="preserve"> Has it changed given the presentation now given on gender and inclusion?</w:t>
            </w:r>
          </w:p>
          <w:p w:rsidRPr="00BC0DE4" w:rsidR="00C23AB4" w:rsidP="00BC0DE4" w:rsidRDefault="00C23AB4" w14:paraId="32628C0B" w14:textId="77777777">
            <w:pPr>
              <w:rPr>
                <w:sz w:val="20"/>
                <w:szCs w:val="20"/>
              </w:rPr>
            </w:pPr>
          </w:p>
        </w:tc>
        <w:tc>
          <w:tcPr>
            <w:tcW w:w="5009" w:type="dxa"/>
            <w:gridSpan w:val="2"/>
            <w:tcMar/>
          </w:tcPr>
          <w:p w:rsidR="00C23AB4" w:rsidP="7F047B33" w:rsidRDefault="00C23AB4" w14:paraId="56F08DA5" w14:textId="77777777">
            <w:pPr>
              <w:pStyle w:val="TableParagraph"/>
              <w:spacing w:line="248" w:lineRule="exact"/>
              <w:ind w:left="118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The guidelines provide the reference:</w:t>
            </w:r>
          </w:p>
          <w:p w:rsidR="00C23AB4" w:rsidP="00C23AB4" w:rsidRDefault="00C23AB4" w14:paraId="09C5B17E" w14:textId="77777777">
            <w:pPr>
              <w:pStyle w:val="TableParagraph"/>
              <w:numPr>
                <w:ilvl w:val="0"/>
                <w:numId w:val="12"/>
              </w:numPr>
              <w:spacing w:line="248" w:lineRule="exac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Min 50% women</w:t>
            </w:r>
          </w:p>
          <w:p w:rsidR="00C23AB4" w:rsidP="00C23AB4" w:rsidRDefault="00C23AB4" w14:paraId="0D574E92" w14:textId="77777777">
            <w:pPr>
              <w:pStyle w:val="TableParagraph"/>
              <w:numPr>
                <w:ilvl w:val="0"/>
                <w:numId w:val="12"/>
              </w:numPr>
              <w:spacing w:line="248" w:lineRule="exac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Min 80% youth (15-35)</w:t>
            </w:r>
          </w:p>
          <w:p w:rsidR="00C23AB4" w:rsidP="7B1EDF6D" w:rsidRDefault="00C23AB4" w14:paraId="09A35FA9" w14:textId="05735B83">
            <w:pPr>
              <w:pStyle w:val="TableParagraph"/>
              <w:numPr>
                <w:ilvl w:val="0"/>
                <w:numId w:val="12"/>
              </w:numPr>
              <w:spacing w:line="248" w:lineRule="exact"/>
              <w:rPr>
                <w:rFonts w:ascii="Calibri" w:hAnsi="Calibri" w:cs="Arial" w:asciiTheme="minorAscii" w:hAnsiTheme="minorAscii" w:cstheme="minorBidi"/>
                <w:sz w:val="20"/>
                <w:szCs w:val="20"/>
                <w:lang w:val="en-US"/>
              </w:rPr>
            </w:pPr>
            <w:r w:rsidRPr="11A3830A" w:rsidR="0081517B">
              <w:rPr>
                <w:rFonts w:ascii="Calibri" w:hAnsi="Calibri" w:cs="Arial" w:asciiTheme="minorAscii" w:hAnsiTheme="minorAscii" w:cstheme="minorBidi"/>
                <w:sz w:val="20"/>
                <w:szCs w:val="20"/>
                <w:lang w:val="en-US"/>
              </w:rPr>
              <w:t xml:space="preserve">No ratio applies for </w:t>
            </w:r>
            <w:r w:rsidRPr="11A3830A" w:rsidR="0081517B">
              <w:rPr>
                <w:rFonts w:ascii="Calibri" w:hAnsi="Calibri" w:cs="Arial" w:asciiTheme="minorAscii" w:hAnsiTheme="minorAscii" w:cstheme="minorBidi"/>
                <w:sz w:val="20"/>
                <w:szCs w:val="20"/>
                <w:lang w:val="en-US"/>
              </w:rPr>
              <w:t>refugee:</w:t>
            </w:r>
            <w:r w:rsidRPr="11A3830A" w:rsidR="6CACA735">
              <w:rPr>
                <w:rFonts w:ascii="Calibri" w:hAnsi="Calibri" w:cs="Arial" w:asciiTheme="minorAscii" w:hAnsiTheme="minorAscii" w:cstheme="minorBidi"/>
                <w:sz w:val="20"/>
                <w:szCs w:val="20"/>
                <w:lang w:val="en-US"/>
              </w:rPr>
              <w:t xml:space="preserve"> </w:t>
            </w:r>
            <w:r w:rsidRPr="11A3830A" w:rsidR="0081517B">
              <w:rPr>
                <w:rFonts w:ascii="Calibri" w:hAnsi="Calibri" w:cs="Arial" w:asciiTheme="minorAscii" w:hAnsiTheme="minorAscii" w:cstheme="minorBidi"/>
                <w:sz w:val="20"/>
                <w:szCs w:val="20"/>
                <w:lang w:val="en-US"/>
              </w:rPr>
              <w:t>host</w:t>
            </w:r>
            <w:r w:rsidRPr="11A3830A" w:rsidR="0081517B">
              <w:rPr>
                <w:rFonts w:ascii="Calibri" w:hAnsi="Calibri" w:cs="Arial" w:asciiTheme="minorAscii" w:hAnsiTheme="minorAscii" w:cstheme="minorBidi"/>
                <w:sz w:val="20"/>
                <w:szCs w:val="20"/>
                <w:lang w:val="en-US"/>
              </w:rPr>
              <w:t xml:space="preserve"> community youth</w:t>
            </w:r>
          </w:p>
        </w:tc>
      </w:tr>
      <w:tr w:rsidR="00161877" w:rsidTr="6A94F017" w14:paraId="50F797AE" w14:textId="77777777">
        <w:trPr>
          <w:trHeight w:val="268"/>
        </w:trPr>
        <w:tc>
          <w:tcPr>
            <w:tcW w:w="531" w:type="dxa"/>
            <w:tcMar/>
          </w:tcPr>
          <w:p w:rsidRPr="00B65490" w:rsidR="00161877" w:rsidP="00161877" w:rsidRDefault="00BC0DE4" w14:paraId="703A7F81" w14:textId="188FEDFE">
            <w:pPr>
              <w:pStyle w:val="TableParagraph"/>
              <w:spacing w:line="248" w:lineRule="exact"/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7957" w:type="dxa"/>
            <w:gridSpan w:val="3"/>
            <w:tcMar/>
          </w:tcPr>
          <w:p w:rsidRPr="00B65490" w:rsidR="00161877" w:rsidP="1C9949CF" w:rsidRDefault="00BC0DE4" w14:paraId="20C07BE1" w14:textId="12568274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1C9949CF" w:rsidR="00BC0DE4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Budget and costs</w:t>
            </w:r>
          </w:p>
          <w:p w:rsidRPr="00B65490" w:rsidR="00161877" w:rsidP="6444DCFA" w:rsidRDefault="00BC0DE4" w14:paraId="0F3A7718" w14:textId="0517CC45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</w:tr>
      <w:tr w:rsidR="00BC0DE4" w:rsidTr="6A94F017" w14:paraId="1A94A6D3" w14:textId="77777777">
        <w:trPr>
          <w:trHeight w:val="268"/>
        </w:trPr>
        <w:tc>
          <w:tcPr>
            <w:tcW w:w="531" w:type="dxa"/>
            <w:tcMar/>
          </w:tcPr>
          <w:p w:rsidRPr="00B65490" w:rsidR="00BC0DE4" w:rsidP="00161877" w:rsidRDefault="00E6039D" w14:paraId="646774F5" w14:textId="45B05B3F">
            <w:pPr>
              <w:pStyle w:val="TableParagraph"/>
              <w:spacing w:line="248" w:lineRule="exact"/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Mar/>
          </w:tcPr>
          <w:p w:rsidRPr="00BC0DE4" w:rsidR="00BC0DE4" w:rsidP="7B1EDF6D" w:rsidRDefault="00BC0DE4" w14:paraId="18C28330" w14:textId="3F443530">
            <w:pPr>
              <w:rPr>
                <w:sz w:val="20"/>
                <w:szCs w:val="20"/>
                <w:lang w:val="en-US"/>
              </w:rPr>
            </w:pPr>
            <w:r w:rsidRPr="1C9949CF" w:rsidR="00D1EAF0">
              <w:rPr>
                <w:sz w:val="20"/>
                <w:szCs w:val="20"/>
                <w:lang w:val="en-US"/>
              </w:rPr>
              <w:t>Organizations</w:t>
            </w:r>
            <w:r w:rsidRPr="1C9949CF" w:rsidR="39A76E0E">
              <w:rPr>
                <w:sz w:val="20"/>
                <w:szCs w:val="20"/>
                <w:lang w:val="en-US"/>
              </w:rPr>
              <w:t xml:space="preserve"> have their own per diem rates different from Enabel rates</w:t>
            </w:r>
            <w:r w:rsidRPr="1C9949CF" w:rsidR="39A76E0E">
              <w:rPr>
                <w:sz w:val="20"/>
                <w:szCs w:val="20"/>
                <w:lang w:val="en-US"/>
              </w:rPr>
              <w:t>;</w:t>
            </w:r>
            <w:r w:rsidRPr="1C9949CF" w:rsidR="39A76E0E">
              <w:rPr>
                <w:sz w:val="20"/>
                <w:szCs w:val="20"/>
                <w:lang w:val="en-US"/>
              </w:rPr>
              <w:t xml:space="preserve"> </w:t>
            </w:r>
            <w:r w:rsidRPr="1C9949CF" w:rsidR="39A76E0E">
              <w:rPr>
                <w:sz w:val="20"/>
                <w:szCs w:val="20"/>
                <w:lang w:val="en-US"/>
              </w:rPr>
              <w:t>what is allowed</w:t>
            </w:r>
            <w:r w:rsidRPr="1C9949CF" w:rsidR="39A76E0E">
              <w:rPr>
                <w:sz w:val="20"/>
                <w:szCs w:val="20"/>
                <w:lang w:val="en-US"/>
              </w:rPr>
              <w:t>?</w:t>
            </w:r>
          </w:p>
          <w:p w:rsidRPr="00BC0DE4" w:rsidR="00BC0DE4" w:rsidP="00BC0DE4" w:rsidRDefault="00BC0DE4" w14:paraId="1EBFAF51" w14:textId="4D39B3C7">
            <w:pPr>
              <w:rPr>
                <w:lang/>
              </w:rPr>
            </w:pPr>
          </w:p>
          <w:p w:rsidRPr="00BC0DE4" w:rsidR="00BC0DE4" w:rsidP="00161877" w:rsidRDefault="00BC0DE4" w14:paraId="7E8E8AB9" w14:textId="77777777">
            <w:pPr>
              <w:pStyle w:val="TableParagraph"/>
              <w:spacing w:line="248" w:lineRule="exact"/>
              <w:ind w:left="119"/>
              <w:rPr>
                <w:rFonts w:asciiTheme="minorHAnsi" w:hAnsiTheme="minorHAnsi" w:cstheme="minorHAnsi"/>
                <w:b/>
                <w:sz w:val="20"/>
                <w:szCs w:val="20"/>
                <w:lang/>
              </w:rPr>
            </w:pPr>
          </w:p>
        </w:tc>
        <w:tc>
          <w:tcPr>
            <w:tcW w:w="4980" w:type="dxa"/>
            <w:tcMar/>
          </w:tcPr>
          <w:p w:rsidRPr="00BC0DE4" w:rsidR="00BC0DE4" w:rsidP="7B1EDF6D" w:rsidRDefault="00BC0DE4" w14:paraId="6FFEBC8F" w14:textId="130EC377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</w:pPr>
            <w:r w:rsidRPr="1C9949CF" w:rsidR="39A76E0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Applicants can follow their own rates </w:t>
            </w:r>
            <w:r w:rsidRPr="1C9949CF" w:rsidR="39A76E0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as long as</w:t>
            </w:r>
            <w:r w:rsidRPr="1C9949CF" w:rsidR="39A76E0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 they do not exceed Enabel rates</w:t>
            </w:r>
            <w:r w:rsidRPr="1C9949CF" w:rsidR="32C2C78A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.</w:t>
            </w:r>
          </w:p>
        </w:tc>
      </w:tr>
      <w:tr w:rsidR="00BC0DE4" w:rsidTr="6A94F017" w14:paraId="56D1AF9F" w14:textId="77777777">
        <w:trPr>
          <w:trHeight w:val="268"/>
        </w:trPr>
        <w:tc>
          <w:tcPr>
            <w:tcW w:w="531" w:type="dxa"/>
            <w:tcMar/>
          </w:tcPr>
          <w:p w:rsidRPr="00B65490" w:rsidR="00BC0DE4" w:rsidP="00161877" w:rsidRDefault="00E6039D" w14:paraId="2A67B837" w14:textId="19A94799">
            <w:pPr>
              <w:pStyle w:val="TableParagraph"/>
              <w:spacing w:line="248" w:lineRule="exact"/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2"/>
            <w:tcMar/>
          </w:tcPr>
          <w:p w:rsidRPr="00BC0DE4" w:rsidR="00BC0DE4" w:rsidP="00BC0DE4" w:rsidRDefault="00BC0DE4" w14:paraId="62D5953D" w14:textId="77777777">
            <w:pPr>
              <w:rPr>
                <w:sz w:val="20"/>
                <w:szCs w:val="20"/>
              </w:rPr>
            </w:pPr>
            <w:r w:rsidRPr="00BC0DE4">
              <w:rPr>
                <w:sz w:val="20"/>
                <w:szCs w:val="20"/>
              </w:rPr>
              <w:t>Rates for government officials are different from what has been presented by Enabel, w</w:t>
            </w:r>
            <w:r w:rsidRPr="00BC0DE4">
              <w:rPr>
                <w:sz w:val="20"/>
                <w:szCs w:val="20"/>
                <w:lang w:val="en-GB"/>
              </w:rPr>
              <w:t>ill</w:t>
            </w:r>
            <w:r w:rsidRPr="00BC0DE4">
              <w:rPr>
                <w:sz w:val="20"/>
                <w:szCs w:val="20"/>
              </w:rPr>
              <w:t xml:space="preserve"> this cause an issue with government officials?</w:t>
            </w:r>
          </w:p>
          <w:p w:rsidRPr="00BC0DE4" w:rsidR="00BC0DE4" w:rsidP="00BC0DE4" w:rsidRDefault="00BC0DE4" w14:paraId="6812DC09" w14:textId="77777777">
            <w:pPr>
              <w:rPr>
                <w:sz w:val="20"/>
                <w:szCs w:val="20"/>
                <w:lang/>
              </w:rPr>
            </w:pPr>
          </w:p>
        </w:tc>
        <w:tc>
          <w:tcPr>
            <w:tcW w:w="4980" w:type="dxa"/>
            <w:tcMar/>
          </w:tcPr>
          <w:p w:rsidRPr="00B65490" w:rsidR="00BC0DE4" w:rsidP="1C506A9B" w:rsidRDefault="00BC0DE4" w14:paraId="36903F1B" w14:textId="4CF93536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</w:pPr>
            <w:r w:rsidRPr="5C8A5F6E" w:rsidR="7154812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Enabel a</w:t>
            </w:r>
            <w:r w:rsidRPr="5C8A5F6E" w:rsidR="7154812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p</w:t>
            </w:r>
            <w:r w:rsidRPr="5C8A5F6E" w:rsidR="7154812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p</w:t>
            </w:r>
            <w:r w:rsidRPr="5C8A5F6E" w:rsidR="7154812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l</w:t>
            </w:r>
            <w:r w:rsidRPr="5C8A5F6E" w:rsidR="7154812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i</w:t>
            </w:r>
            <w:r w:rsidRPr="5C8A5F6E" w:rsidR="7154812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e</w:t>
            </w:r>
            <w:r w:rsidRPr="5C8A5F6E" w:rsidR="7154812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s</w:t>
            </w:r>
            <w:r w:rsidRPr="5C8A5F6E" w:rsidR="7154812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 xml:space="preserve"> </w:t>
            </w:r>
            <w:r w:rsidRPr="5C8A5F6E" w:rsidR="7154812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t</w:t>
            </w:r>
            <w:r w:rsidRPr="5C8A5F6E" w:rsidR="7154812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h</w:t>
            </w:r>
            <w:r w:rsidRPr="5C8A5F6E" w:rsidR="7154812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e</w:t>
            </w:r>
            <w:r w:rsidRPr="5C8A5F6E" w:rsidR="7154812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 xml:space="preserve"> </w:t>
            </w:r>
            <w:r w:rsidRPr="5C8A5F6E" w:rsidR="7154812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d</w:t>
            </w:r>
            <w:r w:rsidRPr="5C8A5F6E" w:rsidR="7154812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 xml:space="preserve">evelopment partners working group policy. These are further contextualized by Enabel as per the guidance provided. Please follow the internal rates </w:t>
            </w:r>
            <w:r w:rsidRPr="5C8A5F6E" w:rsidR="04C0830E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provided</w:t>
            </w:r>
            <w:r w:rsidRPr="5C8A5F6E" w:rsidR="7154812D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 xml:space="preserve"> </w:t>
            </w:r>
            <w:r w:rsidRPr="5C8A5F6E" w:rsidR="6FE62EF8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by Enabel as maximum for your budgeting.</w:t>
            </w:r>
            <w:r w:rsidRPr="5C8A5F6E" w:rsidR="6FE62EF8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BC0DE4" w:rsidTr="6A94F017" w14:paraId="253A7080" w14:textId="77777777">
        <w:trPr>
          <w:trHeight w:val="268"/>
        </w:trPr>
        <w:tc>
          <w:tcPr>
            <w:tcW w:w="531" w:type="dxa"/>
            <w:tcMar/>
          </w:tcPr>
          <w:p w:rsidRPr="00B65490" w:rsidR="00BC0DE4" w:rsidP="00161877" w:rsidRDefault="00E6039D" w14:paraId="0EF68DFE" w14:textId="0E2C658B">
            <w:pPr>
              <w:pStyle w:val="TableParagraph"/>
              <w:spacing w:line="248" w:lineRule="exact"/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gridSpan w:val="2"/>
            <w:tcMar/>
          </w:tcPr>
          <w:p w:rsidRPr="00BC0DE4" w:rsidR="00BC0DE4" w:rsidP="00BC0DE4" w:rsidRDefault="00BC0DE4" w14:paraId="4DFAA9CD" w14:textId="77777777">
            <w:pPr>
              <w:rPr>
                <w:sz w:val="20"/>
                <w:szCs w:val="20"/>
              </w:rPr>
            </w:pPr>
            <w:r w:rsidRPr="00BC0DE4">
              <w:rPr>
                <w:sz w:val="20"/>
                <w:szCs w:val="20"/>
              </w:rPr>
              <w:t>Accommodation rates in Kampala are sometimes higher than the 200,000 UGX that has been presented, what happens in such cases?</w:t>
            </w:r>
          </w:p>
          <w:p w:rsidRPr="00BC0DE4" w:rsidR="00BC0DE4" w:rsidP="00BC0DE4" w:rsidRDefault="00BC0DE4" w14:paraId="23B1FC27" w14:textId="77777777">
            <w:pPr>
              <w:rPr>
                <w:sz w:val="20"/>
                <w:szCs w:val="20"/>
                <w:lang/>
              </w:rPr>
            </w:pPr>
          </w:p>
        </w:tc>
        <w:tc>
          <w:tcPr>
            <w:tcW w:w="4980" w:type="dxa"/>
            <w:tcMar/>
          </w:tcPr>
          <w:p w:rsidR="0844D70F" w:rsidP="67520B70" w:rsidRDefault="0844D70F" w14:paraId="03750D41" w14:textId="7C5A2340">
            <w:pPr>
              <w:pStyle w:val="TableParagraph"/>
              <w:spacing w:line="248" w:lineRule="exact"/>
              <w:ind w:left="0"/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</w:pPr>
          </w:p>
          <w:p w:rsidR="37ACE3C9" w:rsidP="1C506A9B" w:rsidRDefault="37ACE3C9" w14:paraId="4D175926" w14:textId="30589EC2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  <w:lang w:val="en-US"/>
              </w:rPr>
            </w:pPr>
            <w:r w:rsidRPr="1C506A9B" w:rsidR="1EEDC89B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  <w:lang w:val="en-US"/>
              </w:rPr>
              <w:t xml:space="preserve">The </w:t>
            </w:r>
            <w:r w:rsidRPr="1C506A9B" w:rsidR="1EEDC89B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  <w:lang w:val="en-US"/>
              </w:rPr>
              <w:t>organization</w:t>
            </w:r>
            <w:r w:rsidRPr="1C506A9B" w:rsidR="1EEDC89B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  <w:lang w:val="en-US"/>
              </w:rPr>
              <w:t xml:space="preserve"> should use its internal policy in </w:t>
            </w:r>
            <w:r w:rsidRPr="1C506A9B" w:rsidR="1EEDC89B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  <w:lang w:val="en-US"/>
              </w:rPr>
              <w:t>determining</w:t>
            </w:r>
            <w:r w:rsidRPr="1C506A9B" w:rsidR="1EEDC89B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  <w:lang w:val="en-US"/>
              </w:rPr>
              <w:t xml:space="preserve"> budget limits for all standard rates. However, this may not exceed those prescribed in the guidelines and information sessions.</w:t>
            </w:r>
            <w:r w:rsidRPr="1C506A9B" w:rsidR="1EEDC89B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</w:p>
          <w:p w:rsidRPr="00B65490" w:rsidR="00BC0DE4" w:rsidP="1D418430" w:rsidRDefault="00BC0DE4" w14:paraId="3A9BC3EC" w14:textId="2E9B1DD7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</w:pPr>
          </w:p>
          <w:p w:rsidRPr="00B65490" w:rsidR="00BC0DE4" w:rsidP="629F90E1" w:rsidRDefault="00BC0DE4" w14:paraId="7E232474" w14:textId="1177D82C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</w:pPr>
          </w:p>
        </w:tc>
      </w:tr>
      <w:tr w:rsidR="00BC0DE4" w:rsidTr="6A94F017" w14:paraId="063DDC6F" w14:textId="77777777">
        <w:trPr>
          <w:trHeight w:val="268"/>
        </w:trPr>
        <w:tc>
          <w:tcPr>
            <w:tcW w:w="531" w:type="dxa"/>
            <w:tcMar/>
          </w:tcPr>
          <w:p w:rsidRPr="00B65490" w:rsidR="00BC0DE4" w:rsidP="00161877" w:rsidRDefault="00E6039D" w14:paraId="05BC7F4F" w14:textId="32BF7B2A">
            <w:pPr>
              <w:pStyle w:val="TableParagraph"/>
              <w:spacing w:line="248" w:lineRule="exact"/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2"/>
            <w:tcMar/>
          </w:tcPr>
          <w:p w:rsidRPr="00BC0DE4" w:rsidR="00BC0DE4" w:rsidP="7B1EDF6D" w:rsidRDefault="00BC0DE4" w14:paraId="2B6CB69E" w14:textId="0D8F1610">
            <w:pPr>
              <w:rPr>
                <w:sz w:val="20"/>
                <w:szCs w:val="20"/>
                <w:lang w:val="en-US"/>
              </w:rPr>
            </w:pPr>
            <w:r w:rsidRPr="00A5002E" w:rsidR="39A76E0E">
              <w:rPr>
                <w:sz w:val="20"/>
                <w:szCs w:val="20"/>
                <w:lang w:val="en-US"/>
              </w:rPr>
              <w:t xml:space="preserve">Under activities, are we supposed to structure the budget with sub-activities or with items? The budget template </w:t>
            </w:r>
            <w:r w:rsidRPr="00A5002E" w:rsidR="59B0F2FB">
              <w:rPr>
                <w:sz w:val="20"/>
                <w:szCs w:val="20"/>
                <w:lang w:val="en-US"/>
              </w:rPr>
              <w:t>suggests</w:t>
            </w:r>
            <w:r w:rsidRPr="00A5002E" w:rsidR="39A76E0E">
              <w:rPr>
                <w:sz w:val="20"/>
                <w:szCs w:val="20"/>
                <w:lang w:val="en-US"/>
              </w:rPr>
              <w:t xml:space="preserve"> that we break down </w:t>
            </w:r>
            <w:r w:rsidRPr="00A5002E" w:rsidR="4DE0C1BA">
              <w:rPr>
                <w:sz w:val="20"/>
                <w:szCs w:val="20"/>
                <w:lang w:val="en-US"/>
              </w:rPr>
              <w:t>into</w:t>
            </w:r>
            <w:r w:rsidRPr="00A5002E" w:rsidR="39A76E0E">
              <w:rPr>
                <w:sz w:val="20"/>
                <w:szCs w:val="20"/>
                <w:lang w:val="en-US"/>
              </w:rPr>
              <w:t xml:space="preserve"> items.</w:t>
            </w:r>
          </w:p>
        </w:tc>
        <w:tc>
          <w:tcPr>
            <w:tcW w:w="4980" w:type="dxa"/>
            <w:tcMar/>
          </w:tcPr>
          <w:p w:rsidRPr="00BC0DE4" w:rsidR="00BC0DE4" w:rsidP="74B684ED" w:rsidRDefault="00BC0DE4" w14:paraId="32D2491D" w14:textId="6CFCA305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</w:pPr>
            <w:r w:rsidRPr="74B684ED" w:rsidR="39A76E0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It is up to the applicant to structure the budget through sub-activities or items or a mix of </w:t>
            </w:r>
            <w:r w:rsidRPr="74B684ED" w:rsidR="1432DD20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them</w:t>
            </w:r>
            <w:r w:rsidRPr="74B684ED" w:rsidR="39A76E0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. </w:t>
            </w:r>
            <w:r w:rsidRPr="74B684ED" w:rsidR="3642589B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If</w:t>
            </w:r>
            <w:r w:rsidRPr="74B684ED" w:rsidR="39A76E0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 it is clear and aligned with the work-plan and logical framework and </w:t>
            </w:r>
            <w:r w:rsidRPr="74B684ED" w:rsidR="68806AE8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if</w:t>
            </w:r>
            <w:r w:rsidRPr="74B684ED" w:rsidR="39A76E0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 the cost estimation is clearly broken down or justified in the </w:t>
            </w:r>
            <w:r w:rsidRPr="74B684ED" w:rsidR="62F6854F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comment</w:t>
            </w:r>
            <w:r w:rsidRPr="74B684ED" w:rsidR="0C05152C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 </w:t>
            </w:r>
            <w:r w:rsidRPr="74B684ED" w:rsidR="39A76E0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column</w:t>
            </w:r>
            <w:r w:rsidRPr="74B684ED" w:rsidR="11BC9266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.</w:t>
            </w:r>
          </w:p>
          <w:p w:rsidRPr="00BC0DE4" w:rsidR="00BC0DE4" w:rsidP="7B1EDF6D" w:rsidRDefault="00BC0DE4" w14:paraId="04A698BA" w14:textId="0053CD0A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</w:pPr>
          </w:p>
        </w:tc>
      </w:tr>
      <w:tr w:rsidR="00BC0DE4" w:rsidTr="6A94F017" w14:paraId="5032C77E" w14:textId="77777777">
        <w:trPr>
          <w:trHeight w:val="268"/>
        </w:trPr>
        <w:tc>
          <w:tcPr>
            <w:tcW w:w="531" w:type="dxa"/>
            <w:tcMar/>
          </w:tcPr>
          <w:p w:rsidRPr="00B65490" w:rsidR="00BC0DE4" w:rsidP="00161877" w:rsidRDefault="00E6039D" w14:paraId="449F7B43" w14:textId="76E4CE40">
            <w:pPr>
              <w:pStyle w:val="TableParagraph"/>
              <w:spacing w:line="248" w:lineRule="exact"/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977" w:type="dxa"/>
            <w:gridSpan w:val="2"/>
            <w:tcMar/>
          </w:tcPr>
          <w:p w:rsidRPr="00BC0DE4" w:rsidR="00BC0DE4" w:rsidP="7B1EDF6D" w:rsidRDefault="00BC0DE4" w14:paraId="471C1EF7" w14:textId="709F9933">
            <w:pPr>
              <w:rPr>
                <w:sz w:val="20"/>
                <w:szCs w:val="20"/>
                <w:lang w:val="en-US"/>
              </w:rPr>
            </w:pPr>
            <w:r w:rsidRPr="74B684ED" w:rsidR="39A76E0E">
              <w:rPr>
                <w:sz w:val="20"/>
                <w:szCs w:val="20"/>
                <w:lang w:val="en-US"/>
              </w:rPr>
              <w:t xml:space="preserve">Some international </w:t>
            </w:r>
            <w:r w:rsidRPr="74B684ED" w:rsidR="6AF83283">
              <w:rPr>
                <w:sz w:val="20"/>
                <w:szCs w:val="20"/>
                <w:lang w:val="en-US"/>
              </w:rPr>
              <w:t>organizations</w:t>
            </w:r>
            <w:r w:rsidRPr="74B684ED" w:rsidR="39A76E0E">
              <w:rPr>
                <w:sz w:val="20"/>
                <w:szCs w:val="20"/>
                <w:lang w:val="en-US"/>
              </w:rPr>
              <w:t xml:space="preserve"> have </w:t>
            </w:r>
            <w:r w:rsidRPr="74B684ED" w:rsidR="39A76E0E">
              <w:rPr>
                <w:sz w:val="20"/>
                <w:szCs w:val="20"/>
                <w:lang w:val="en-US"/>
              </w:rPr>
              <w:t>costs of HQ</w:t>
            </w:r>
            <w:r w:rsidRPr="74B684ED" w:rsidR="39A76E0E">
              <w:rPr>
                <w:sz w:val="20"/>
                <w:szCs w:val="20"/>
                <w:lang w:val="en-US"/>
              </w:rPr>
              <w:t xml:space="preserve"> which may be higher than 7%, what happens in such cases?</w:t>
            </w:r>
          </w:p>
          <w:p w:rsidRPr="00BC0DE4" w:rsidR="00BC0DE4" w:rsidP="00BC0DE4" w:rsidRDefault="00BC0DE4" w14:paraId="35489A5F" w14:textId="77777777">
            <w:pPr>
              <w:rPr>
                <w:sz w:val="20"/>
                <w:szCs w:val="20"/>
                <w:lang/>
              </w:rPr>
            </w:pPr>
          </w:p>
        </w:tc>
        <w:tc>
          <w:tcPr>
            <w:tcW w:w="4980" w:type="dxa"/>
            <w:tcMar/>
          </w:tcPr>
          <w:p w:rsidRPr="00BC0DE4" w:rsidR="00BC0DE4" w:rsidP="00161877" w:rsidRDefault="00BC0DE4" w14:paraId="3D5710F8" w14:textId="0E5C4552">
            <w:pPr>
              <w:pStyle w:val="TableParagraph"/>
              <w:spacing w:line="248" w:lineRule="exact"/>
              <w:ind w:left="11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 no case structure costs can exceed more than 7% of operational costs</w:t>
            </w:r>
          </w:p>
        </w:tc>
      </w:tr>
      <w:tr w:rsidR="00BC0DE4" w:rsidTr="6A94F017" w14:paraId="668C78D2" w14:textId="77777777">
        <w:trPr>
          <w:trHeight w:val="268"/>
        </w:trPr>
        <w:tc>
          <w:tcPr>
            <w:tcW w:w="531" w:type="dxa"/>
            <w:tcMar/>
          </w:tcPr>
          <w:p w:rsidRPr="00B65490" w:rsidR="00BC0DE4" w:rsidP="00161877" w:rsidRDefault="00E6039D" w14:paraId="47E8FF8B" w14:textId="42C95ED7">
            <w:pPr>
              <w:pStyle w:val="TableParagraph"/>
              <w:spacing w:line="248" w:lineRule="exact"/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977" w:type="dxa"/>
            <w:gridSpan w:val="2"/>
            <w:tcMar/>
          </w:tcPr>
          <w:p w:rsidRPr="00BC0DE4" w:rsidR="00BC0DE4" w:rsidP="00BC0DE4" w:rsidRDefault="00BC0DE4" w14:paraId="53F10F5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C0DE4">
              <w:rPr>
                <w:sz w:val="20"/>
                <w:szCs w:val="20"/>
              </w:rPr>
              <w:t>Can</w:t>
            </w:r>
            <w:r w:rsidRPr="00BC0DE4">
              <w:rPr>
                <w:sz w:val="20"/>
                <w:szCs w:val="20"/>
                <w:lang w:val="en-GB"/>
              </w:rPr>
              <w:t xml:space="preserve"> contribution to HQ</w:t>
            </w:r>
            <w:r w:rsidRPr="00BC0DE4">
              <w:rPr>
                <w:sz w:val="20"/>
                <w:szCs w:val="20"/>
              </w:rPr>
              <w:t xml:space="preserve"> rent costs be put under management costs?</w:t>
            </w:r>
          </w:p>
          <w:p w:rsidRPr="00BC0DE4" w:rsidR="00BC0DE4" w:rsidP="00BC0DE4" w:rsidRDefault="00BC0DE4" w14:paraId="50A059F4" w14:textId="61E677DC">
            <w:pPr>
              <w:rPr>
                <w:sz w:val="20"/>
                <w:szCs w:val="20"/>
                <w:lang/>
              </w:rPr>
            </w:pPr>
          </w:p>
        </w:tc>
        <w:tc>
          <w:tcPr>
            <w:tcW w:w="4980" w:type="dxa"/>
            <w:tcMar/>
          </w:tcPr>
          <w:p w:rsidR="00BC0DE4" w:rsidP="1C506A9B" w:rsidRDefault="00BC0DE4" w14:paraId="71613199" w14:textId="3E23483B">
            <w:pPr>
              <w:pStyle w:val="TableParagraph"/>
              <w:spacing w:line="248" w:lineRule="exact"/>
              <w:ind w:left="0"/>
              <w:rPr>
                <w:rFonts w:ascii="Calibri" w:hAnsi="Calibri" w:cs="Calibri" w:asciiTheme="minorAscii" w:hAnsiTheme="minorAscii" w:cstheme="minorAscii"/>
                <w:strike w:val="1"/>
                <w:sz w:val="20"/>
                <w:szCs w:val="20"/>
              </w:rPr>
            </w:pPr>
          </w:p>
          <w:p w:rsidR="3A4742C7" w:rsidP="1C506A9B" w:rsidRDefault="3A4742C7" w14:paraId="7DC41DA5" w14:textId="5FDB563B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</w:pPr>
            <w:r w:rsidRPr="1C506A9B" w:rsidR="405C76C8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Yes, partners can budget for HQ rent in case the </w:t>
            </w:r>
            <w:r w:rsidRPr="1C506A9B" w:rsidR="405C76C8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HQ offices are based in Uganda. </w:t>
            </w:r>
            <w:r w:rsidRPr="1C506A9B" w:rsidR="5B2366D2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This should also be budgeted as a shared cost and percentage contribution should be </w:t>
            </w:r>
            <w:r w:rsidRPr="1C506A9B" w:rsidR="5B2366D2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indicated</w:t>
            </w:r>
            <w:r w:rsidRPr="1C506A9B" w:rsidR="5B2366D2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 in the budget. For HQ abroad, you should </w:t>
            </w:r>
            <w:r w:rsidRPr="1C506A9B" w:rsidR="5B2366D2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utilize</w:t>
            </w:r>
            <w:r w:rsidRPr="1C506A9B" w:rsidR="5B2366D2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 the structural cost to cater for such cost.</w:t>
            </w:r>
            <w:r w:rsidRPr="1C506A9B" w:rsidR="5B2366D2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 </w:t>
            </w:r>
          </w:p>
          <w:p w:rsidR="6C98A7F4" w:rsidP="6C98A7F4" w:rsidRDefault="6C98A7F4" w14:paraId="1CB615C8" w14:textId="49FCAD65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="00BC0DE4" w:rsidP="629F90E1" w:rsidRDefault="00BC0DE4" w14:paraId="32A7B30B" w14:textId="4A6F4D01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  <w:tr w:rsidR="00C23AB4" w:rsidTr="6A94F017" w14:paraId="53E1AB7F" w14:textId="77777777">
        <w:trPr>
          <w:trHeight w:val="268"/>
        </w:trPr>
        <w:tc>
          <w:tcPr>
            <w:tcW w:w="531" w:type="dxa"/>
            <w:tcMar/>
          </w:tcPr>
          <w:p w:rsidRPr="00B65490" w:rsidR="00C23AB4" w:rsidP="00161877" w:rsidRDefault="00E6039D" w14:paraId="5EB83520" w14:textId="2519E754">
            <w:pPr>
              <w:pStyle w:val="TableParagraph"/>
              <w:spacing w:line="248" w:lineRule="exact"/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977" w:type="dxa"/>
            <w:gridSpan w:val="2"/>
            <w:tcMar/>
          </w:tcPr>
          <w:p w:rsidRPr="00E6039D" w:rsidR="00C23AB4" w:rsidP="00C23AB4" w:rsidRDefault="00C23AB4" w14:paraId="137CF8E3" w14:textId="279F3ECB">
            <w:pPr>
              <w:rPr>
                <w:sz w:val="20"/>
                <w:szCs w:val="20"/>
              </w:rPr>
            </w:pPr>
            <w:r w:rsidRPr="00E6039D">
              <w:rPr>
                <w:sz w:val="20"/>
                <w:szCs w:val="20"/>
              </w:rPr>
              <w:t xml:space="preserve">Is the budget template in Euros or </w:t>
            </w:r>
            <w:r w:rsidRPr="00E6039D">
              <w:rPr>
                <w:sz w:val="20"/>
                <w:szCs w:val="20"/>
              </w:rPr>
              <w:t>Ugandan S</w:t>
            </w:r>
            <w:r w:rsidRPr="00E6039D">
              <w:rPr>
                <w:sz w:val="20"/>
                <w:szCs w:val="20"/>
              </w:rPr>
              <w:t>hillings</w:t>
            </w:r>
            <w:r w:rsidRPr="00E6039D">
              <w:rPr>
                <w:sz w:val="20"/>
                <w:szCs w:val="20"/>
              </w:rPr>
              <w:t xml:space="preserve"> and what is the exchange rate to follow?</w:t>
            </w:r>
          </w:p>
          <w:p w:rsidRPr="00E6039D" w:rsidR="00C23AB4" w:rsidP="00BC0DE4" w:rsidRDefault="00C23AB4" w14:paraId="5BDB05DC" w14:textId="77777777">
            <w:pPr>
              <w:rPr>
                <w:sz w:val="20"/>
                <w:szCs w:val="20"/>
                <w:lang/>
              </w:rPr>
            </w:pPr>
          </w:p>
        </w:tc>
        <w:tc>
          <w:tcPr>
            <w:tcW w:w="4980" w:type="dxa"/>
            <w:tcMar/>
          </w:tcPr>
          <w:p w:rsidRPr="00E6039D" w:rsidR="00C23AB4" w:rsidP="5C4FA1B9" w:rsidRDefault="00C23AB4" w14:paraId="7C7C9EB6" w14:textId="4A0F46FD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</w:pPr>
            <w:r w:rsidRPr="5C4FA1B9" w:rsidR="00C23AB4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  <w:t xml:space="preserve">The budget template attached for this call includes both costing in Ugandan Shilling as well as Euros. Applicants are to </w:t>
            </w:r>
            <w:r w:rsidRPr="5C4FA1B9" w:rsidR="00C23AB4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  <w:t>determine</w:t>
            </w:r>
            <w:r w:rsidRPr="5C4FA1B9" w:rsidR="00C23AB4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  <w:t xml:space="preserve"> themselves which exchange rate they will apply</w:t>
            </w:r>
            <w:r w:rsidRPr="5C4FA1B9" w:rsidR="3FCB5581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GB"/>
              </w:rPr>
              <w:t>.</w:t>
            </w:r>
          </w:p>
        </w:tc>
      </w:tr>
      <w:tr w:rsidR="00BC0DE4" w:rsidTr="6A94F017" w14:paraId="36D1B68A" w14:textId="77777777">
        <w:trPr>
          <w:trHeight w:val="268"/>
        </w:trPr>
        <w:tc>
          <w:tcPr>
            <w:tcW w:w="531" w:type="dxa"/>
            <w:tcMar/>
          </w:tcPr>
          <w:p w:rsidRPr="00B65490" w:rsidR="00BC0DE4" w:rsidP="00161877" w:rsidRDefault="00BC0DE4" w14:paraId="7D9FF656" w14:textId="64A9F27A">
            <w:pPr>
              <w:pStyle w:val="TableParagraph"/>
              <w:spacing w:line="248" w:lineRule="exact"/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7957" w:type="dxa"/>
            <w:gridSpan w:val="3"/>
            <w:tcMar/>
          </w:tcPr>
          <w:p w:rsidR="00BC0DE4" w:rsidP="0FC3F9E0" w:rsidRDefault="00BC0DE4" w14:paraId="317CC7A9" w14:textId="553B1542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0FC3F9E0" w:rsidR="00BC0DE4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Application form and procedure</w:t>
            </w:r>
          </w:p>
          <w:p w:rsidR="00BC0DE4" w:rsidP="0F39B44B" w:rsidRDefault="00BC0DE4" w14:paraId="10EEDE45" w14:textId="5DFD89E6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</w:tr>
      <w:tr w:rsidR="00BC0DE4" w:rsidTr="6A94F017" w14:paraId="0555CC19" w14:textId="77777777">
        <w:trPr>
          <w:trHeight w:val="268"/>
        </w:trPr>
        <w:tc>
          <w:tcPr>
            <w:tcW w:w="531" w:type="dxa"/>
            <w:tcMar/>
          </w:tcPr>
          <w:p w:rsidR="00BC0DE4" w:rsidP="00161877" w:rsidRDefault="00E6039D" w14:paraId="0271D830" w14:textId="512A82A3">
            <w:pPr>
              <w:pStyle w:val="TableParagraph"/>
              <w:spacing w:line="248" w:lineRule="exact"/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977" w:type="dxa"/>
            <w:gridSpan w:val="2"/>
            <w:tcMar/>
          </w:tcPr>
          <w:p w:rsidRPr="00C23AB4" w:rsidR="00C23AB4" w:rsidP="00C23AB4" w:rsidRDefault="00C23AB4" w14:paraId="21215006" w14:textId="4B472D80">
            <w:pPr>
              <w:rPr>
                <w:sz w:val="20"/>
                <w:szCs w:val="20"/>
              </w:rPr>
            </w:pPr>
            <w:r w:rsidRPr="00C23AB4">
              <w:rPr>
                <w:sz w:val="20"/>
                <w:szCs w:val="20"/>
              </w:rPr>
              <w:t>I</w:t>
            </w:r>
            <w:r w:rsidRPr="00C23AB4">
              <w:rPr>
                <w:sz w:val="20"/>
                <w:szCs w:val="20"/>
              </w:rPr>
              <w:t xml:space="preserve">n the proposal template provided, where should gender </w:t>
            </w:r>
            <w:r w:rsidRPr="00C23AB4">
              <w:rPr>
                <w:sz w:val="20"/>
                <w:szCs w:val="20"/>
              </w:rPr>
              <w:t xml:space="preserve">and inclusion </w:t>
            </w:r>
            <w:r w:rsidRPr="00C23AB4">
              <w:rPr>
                <w:sz w:val="20"/>
                <w:szCs w:val="20"/>
              </w:rPr>
              <w:lastRenderedPageBreak/>
              <w:t>strategies</w:t>
            </w:r>
            <w:r w:rsidRPr="00C23AB4">
              <w:rPr>
                <w:sz w:val="20"/>
                <w:szCs w:val="20"/>
              </w:rPr>
              <w:t xml:space="preserve"> be included?</w:t>
            </w:r>
          </w:p>
          <w:p w:rsidRPr="00C23AB4" w:rsidR="00BC0DE4" w:rsidP="00161877" w:rsidRDefault="00BC0DE4" w14:paraId="77FFFBD5" w14:textId="77777777">
            <w:pPr>
              <w:pStyle w:val="TableParagraph"/>
              <w:spacing w:line="248" w:lineRule="exact"/>
              <w:ind w:left="119"/>
              <w:rPr>
                <w:rFonts w:asciiTheme="minorHAnsi" w:hAnsiTheme="minorHAnsi" w:cstheme="minorHAnsi"/>
                <w:bCs/>
                <w:sz w:val="20"/>
                <w:szCs w:val="20"/>
                <w:lang/>
              </w:rPr>
            </w:pPr>
          </w:p>
        </w:tc>
        <w:tc>
          <w:tcPr>
            <w:tcW w:w="4980" w:type="dxa"/>
            <w:tcMar/>
          </w:tcPr>
          <w:p w:rsidR="00BC0DE4" w:rsidP="00161877" w:rsidRDefault="00C23AB4" w14:paraId="647F5E69" w14:textId="3D130922">
            <w:pPr>
              <w:pStyle w:val="TableParagraph"/>
              <w:spacing w:line="248" w:lineRule="exact"/>
              <w:ind w:left="11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The application form provides a description under each question on required information, you will find it in the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description of the first question (description of action)</w:t>
            </w:r>
          </w:p>
        </w:tc>
      </w:tr>
      <w:tr w:rsidR="00C23AB4" w:rsidTr="6A94F017" w14:paraId="28C9D073" w14:textId="77777777">
        <w:trPr>
          <w:trHeight w:val="268"/>
        </w:trPr>
        <w:tc>
          <w:tcPr>
            <w:tcW w:w="531" w:type="dxa"/>
            <w:tcMar/>
          </w:tcPr>
          <w:p w:rsidR="00C23AB4" w:rsidP="00161877" w:rsidRDefault="00E6039D" w14:paraId="728C631F" w14:textId="1E4F1BCA">
            <w:pPr>
              <w:pStyle w:val="TableParagraph"/>
              <w:spacing w:line="248" w:lineRule="exact"/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2977" w:type="dxa"/>
            <w:gridSpan w:val="2"/>
            <w:tcMar/>
          </w:tcPr>
          <w:p w:rsidRPr="00C23AB4" w:rsidR="00C23AB4" w:rsidP="7B1EDF6D" w:rsidRDefault="00C23AB4" w14:paraId="0EC398F2" w14:textId="4E6E25D2">
            <w:pPr>
              <w:rPr>
                <w:sz w:val="20"/>
                <w:szCs w:val="20"/>
                <w:lang w:val="en-US"/>
              </w:rPr>
            </w:pPr>
            <w:r w:rsidRPr="7B1EDF6D" w:rsidR="0081517B">
              <w:rPr>
                <w:sz w:val="20"/>
                <w:szCs w:val="20"/>
                <w:lang w:val="en-US"/>
              </w:rPr>
              <w:t xml:space="preserve"> The online application form indicates budget thresholds of 150,000 EUR to 500,000 EUR. Have the thresholds changed to what was communicated and indicated in the guidelines?</w:t>
            </w:r>
          </w:p>
        </w:tc>
        <w:tc>
          <w:tcPr>
            <w:tcW w:w="4980" w:type="dxa"/>
            <w:tcMar/>
          </w:tcPr>
          <w:p w:rsidR="00C23AB4" w:rsidP="7B1EDF6D" w:rsidRDefault="00C23AB4" w14:paraId="5D8F1775" w14:textId="04BE4083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</w:pPr>
            <w:r w:rsidRPr="7B1EDF6D" w:rsidR="0081517B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No, this was an error that has been rectified. The minimum and maximum volumes that can be requested under this call for proposals remain the same: </w:t>
            </w:r>
          </w:p>
          <w:p w:rsidRPr="00C23AB4" w:rsidR="00C23AB4" w:rsidP="00C23AB4" w:rsidRDefault="00C23AB4" w14:paraId="4015B629" w14:textId="77777777">
            <w:pPr>
              <w:pStyle w:val="TableParagraph"/>
              <w:spacing w:line="248" w:lineRule="exact"/>
              <w:ind w:left="119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C23AB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Minimum amount: 150,000 EUR </w:t>
            </w:r>
          </w:p>
          <w:p w:rsidR="00C23AB4" w:rsidP="00C23AB4" w:rsidRDefault="00C23AB4" w14:paraId="1BFA26A0" w14:textId="77777777">
            <w:pPr>
              <w:pStyle w:val="TableParagraph"/>
              <w:spacing w:line="248" w:lineRule="exact"/>
              <w:ind w:left="119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C23AB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Maximum amount: 325,000 EUR </w:t>
            </w:r>
          </w:p>
          <w:p w:rsidR="00C23AB4" w:rsidP="00C23AB4" w:rsidRDefault="00C23AB4" w14:paraId="334B64FC" w14:textId="77777777">
            <w:pPr>
              <w:pStyle w:val="TableParagraph"/>
              <w:spacing w:line="248" w:lineRule="exact"/>
              <w:ind w:left="119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  <w:p w:rsidRPr="00C23AB4" w:rsidR="00C23AB4" w:rsidP="00C23AB4" w:rsidRDefault="00C23AB4" w14:paraId="07F8157D" w14:textId="420A528A">
            <w:pPr>
              <w:pStyle w:val="TableParagraph"/>
              <w:spacing w:line="248" w:lineRule="exact"/>
              <w:ind w:left="119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The requested amount cannot differ more than 20% than the initial estimate given in the concept note</w:t>
            </w:r>
          </w:p>
          <w:p w:rsidRPr="00C23AB4" w:rsidR="00C23AB4" w:rsidP="00161877" w:rsidRDefault="00C23AB4" w14:paraId="00CF38FC" w14:textId="564701E4">
            <w:pPr>
              <w:pStyle w:val="TableParagraph"/>
              <w:spacing w:line="248" w:lineRule="exact"/>
              <w:ind w:left="119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</w:tr>
      <w:tr w:rsidR="00C23AB4" w:rsidTr="6A94F017" w14:paraId="5EA4FF00" w14:textId="77777777">
        <w:trPr>
          <w:trHeight w:val="268"/>
        </w:trPr>
        <w:tc>
          <w:tcPr>
            <w:tcW w:w="531" w:type="dxa"/>
            <w:tcMar/>
          </w:tcPr>
          <w:p w:rsidR="00C23AB4" w:rsidP="00161877" w:rsidRDefault="00C23AB4" w14:paraId="0DC1674B" w14:textId="7F9559CF">
            <w:pPr>
              <w:pStyle w:val="TableParagraph"/>
              <w:spacing w:line="248" w:lineRule="exact"/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7957" w:type="dxa"/>
            <w:gridSpan w:val="3"/>
            <w:tcMar/>
          </w:tcPr>
          <w:p w:rsidRPr="00E6039D" w:rsidR="00C23AB4" w:rsidP="5C4FA1B9" w:rsidRDefault="00C23AB4" w14:paraId="11F83A91" w14:textId="1C802206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5C4FA1B9" w:rsidR="00C23AB4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M&amp;E and logical framework</w:t>
            </w:r>
          </w:p>
          <w:p w:rsidRPr="00E6039D" w:rsidR="00C23AB4" w:rsidP="5C4FA1B9" w:rsidRDefault="00C23AB4" w14:paraId="6F850F33" w14:textId="31308FE5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</w:tr>
      <w:tr w:rsidR="00C23AB4" w:rsidTr="6A94F017" w14:paraId="192DAC47" w14:textId="77777777">
        <w:trPr>
          <w:trHeight w:val="268"/>
        </w:trPr>
        <w:tc>
          <w:tcPr>
            <w:tcW w:w="531" w:type="dxa"/>
            <w:tcMar/>
          </w:tcPr>
          <w:p w:rsidR="00C23AB4" w:rsidP="00161877" w:rsidRDefault="00E6039D" w14:paraId="267F9BCD" w14:textId="355135D1">
            <w:pPr>
              <w:pStyle w:val="TableParagraph"/>
              <w:spacing w:line="248" w:lineRule="exact"/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2977" w:type="dxa"/>
            <w:gridSpan w:val="2"/>
            <w:tcMar/>
          </w:tcPr>
          <w:p w:rsidRPr="00C23AB4" w:rsidR="00C23AB4" w:rsidP="7B1EDF6D" w:rsidRDefault="00C23AB4" w14:paraId="0A2B7AE5" w14:textId="20500E71">
            <w:pPr>
              <w:rPr>
                <w:sz w:val="20"/>
                <w:szCs w:val="20"/>
                <w:lang w:val="en-US"/>
              </w:rPr>
            </w:pPr>
            <w:r w:rsidRPr="7B1EDF6D" w:rsidR="0081517B">
              <w:rPr>
                <w:sz w:val="20"/>
                <w:szCs w:val="20"/>
                <w:lang w:val="en-US"/>
              </w:rPr>
              <w:t>Are specific objectives and outcomes the same thing?</w:t>
            </w:r>
            <w:r w:rsidRPr="7B1EDF6D" w:rsidR="0081517B">
              <w:rPr>
                <w:sz w:val="20"/>
                <w:szCs w:val="20"/>
                <w:lang w:val="en-US"/>
              </w:rPr>
              <w:t xml:space="preserve"> For EU frameworks Specific objectives are to be formulated as something that has to be done, while this framework indicated an achieved situation</w:t>
            </w:r>
          </w:p>
          <w:p w:rsidRPr="00C23AB4" w:rsidR="00C23AB4" w:rsidP="00C23AB4" w:rsidRDefault="00C23AB4" w14:paraId="0888D95F" w14:textId="77777777">
            <w:pPr>
              <w:rPr>
                <w:sz w:val="20"/>
                <w:szCs w:val="20"/>
                <w:lang/>
              </w:rPr>
            </w:pPr>
          </w:p>
        </w:tc>
        <w:tc>
          <w:tcPr>
            <w:tcW w:w="4980" w:type="dxa"/>
            <w:tcMar/>
          </w:tcPr>
          <w:p w:rsidR="00C23AB4" w:rsidP="7B1EDF6D" w:rsidRDefault="00C23AB4" w14:paraId="70BE759E" w14:textId="2F6B1D46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</w:pPr>
            <w:r w:rsidRPr="26140E66" w:rsidR="0081517B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Yes, in Enabel’s framework Specific Objectives are the same as outcomes and are to reflect change in </w:t>
            </w:r>
            <w:r w:rsidRPr="26140E66" w:rsidR="5447DB27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behavior</w:t>
            </w:r>
            <w:r w:rsidRPr="26140E66" w:rsidR="0081517B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 instead of services delivered.</w:t>
            </w:r>
          </w:p>
          <w:p w:rsidR="00C23AB4" w:rsidP="00161877" w:rsidRDefault="00C23AB4" w14:paraId="524F86E3" w14:textId="77777777">
            <w:pPr>
              <w:pStyle w:val="TableParagraph"/>
              <w:spacing w:line="248" w:lineRule="exact"/>
              <w:ind w:left="11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C23AB4" w:rsidP="7B1EDF6D" w:rsidRDefault="00C23AB4" w14:paraId="0507D972" w14:textId="113C5ACA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</w:pPr>
            <w:r w:rsidRPr="7B1EDF6D" w:rsidR="0081517B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Whether objectives are formulated as an achieved situation or as an action to </w:t>
            </w:r>
            <w:r w:rsidRPr="7B1EDF6D" w:rsidR="55301497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undertake is up to the applicant. What is most appropriate though is that indicators are formulated as an achieved situation.</w:t>
            </w:r>
            <w:r w:rsidRPr="7B1EDF6D" w:rsidR="0081517B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  </w:t>
            </w:r>
          </w:p>
        </w:tc>
      </w:tr>
      <w:tr w:rsidR="00C23AB4" w:rsidTr="6A94F017" w14:paraId="7CF7DB8E" w14:textId="77777777">
        <w:trPr>
          <w:trHeight w:val="268"/>
        </w:trPr>
        <w:tc>
          <w:tcPr>
            <w:tcW w:w="531" w:type="dxa"/>
            <w:tcMar/>
          </w:tcPr>
          <w:p w:rsidR="00C23AB4" w:rsidP="00161877" w:rsidRDefault="00E6039D" w14:paraId="33314F37" w14:textId="61289327">
            <w:pPr>
              <w:pStyle w:val="TableParagraph"/>
              <w:spacing w:line="248" w:lineRule="exact"/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2977" w:type="dxa"/>
            <w:gridSpan w:val="2"/>
            <w:tcMar/>
          </w:tcPr>
          <w:p w:rsidRPr="00C23AB4" w:rsidR="00C23AB4" w:rsidP="00C23AB4" w:rsidRDefault="00C23AB4" w14:paraId="141E2C3B" w14:textId="77777777">
            <w:pPr>
              <w:rPr>
                <w:sz w:val="20"/>
                <w:szCs w:val="20"/>
              </w:rPr>
            </w:pPr>
            <w:r w:rsidRPr="00C23AB4">
              <w:rPr>
                <w:sz w:val="20"/>
                <w:szCs w:val="20"/>
              </w:rPr>
              <w:t>According to Enabel, what is the difference between an output and outcome?</w:t>
            </w:r>
          </w:p>
          <w:p w:rsidRPr="00C23AB4" w:rsidR="00C23AB4" w:rsidP="00C23AB4" w:rsidRDefault="00C23AB4" w14:paraId="05B8D071" w14:textId="77777777">
            <w:pPr>
              <w:rPr>
                <w:sz w:val="20"/>
                <w:szCs w:val="20"/>
                <w:lang/>
              </w:rPr>
            </w:pPr>
          </w:p>
        </w:tc>
        <w:tc>
          <w:tcPr>
            <w:tcW w:w="4980" w:type="dxa"/>
            <w:tcMar/>
          </w:tcPr>
          <w:p w:rsidR="00C23AB4" w:rsidP="6F04BA8A" w:rsidRDefault="00E6039D" w14:paraId="61662BF6" w14:textId="7D75AB0D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6F04BA8A" w:rsidR="00E6039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Output = service/support to be delivered; in the applicant’s sphere of control</w:t>
            </w:r>
            <w:r w:rsidRPr="6F04BA8A" w:rsidR="547508B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.</w:t>
            </w:r>
          </w:p>
          <w:p w:rsidR="00E6039D" w:rsidP="00161877" w:rsidRDefault="00E6039D" w14:paraId="59EE994B" w14:textId="77777777">
            <w:pPr>
              <w:pStyle w:val="TableParagraph"/>
              <w:spacing w:line="248" w:lineRule="exact"/>
              <w:ind w:left="11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E6039D" w:rsidP="6F04BA8A" w:rsidRDefault="00E6039D" w14:paraId="07FE7E48" w14:textId="1A805E1D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</w:pPr>
            <w:r w:rsidRPr="6F04BA8A" w:rsidR="5763C15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Outcome = desired change/change in </w:t>
            </w:r>
            <w:r w:rsidRPr="6F04BA8A" w:rsidR="34894D87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behavior</w:t>
            </w:r>
            <w:r w:rsidRPr="6F04BA8A" w:rsidR="5763C15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; in the applicant’s sphere of influence</w:t>
            </w:r>
            <w:r w:rsidRPr="6F04BA8A" w:rsidR="1CB77447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.</w:t>
            </w:r>
          </w:p>
          <w:p w:rsidR="00E6039D" w:rsidP="7B1EDF6D" w:rsidRDefault="00E6039D" w14:paraId="1E214244" w14:textId="6D0B28BE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</w:pPr>
          </w:p>
        </w:tc>
      </w:tr>
      <w:tr w:rsidR="00C23AB4" w:rsidTr="6A94F017" w14:paraId="0B31D510" w14:textId="77777777">
        <w:trPr>
          <w:trHeight w:val="268"/>
        </w:trPr>
        <w:tc>
          <w:tcPr>
            <w:tcW w:w="531" w:type="dxa"/>
            <w:tcMar/>
          </w:tcPr>
          <w:p w:rsidR="00C23AB4" w:rsidP="00161877" w:rsidRDefault="00E6039D" w14:paraId="2F8DD96C" w14:textId="2629BF69">
            <w:pPr>
              <w:pStyle w:val="TableParagraph"/>
              <w:spacing w:line="248" w:lineRule="exact"/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2977" w:type="dxa"/>
            <w:gridSpan w:val="2"/>
            <w:tcMar/>
          </w:tcPr>
          <w:p w:rsidRPr="00C23AB4" w:rsidR="00C23AB4" w:rsidP="00C23AB4" w:rsidRDefault="00C23AB4" w14:paraId="11C78468" w14:textId="77777777">
            <w:pPr>
              <w:rPr>
                <w:sz w:val="20"/>
                <w:szCs w:val="20"/>
              </w:rPr>
            </w:pPr>
            <w:r w:rsidRPr="00C23AB4">
              <w:rPr>
                <w:sz w:val="20"/>
                <w:szCs w:val="20"/>
              </w:rPr>
              <w:t>Should we report indicators in percentages or whole numbers?</w:t>
            </w:r>
          </w:p>
          <w:p w:rsidRPr="00C23AB4" w:rsidR="00C23AB4" w:rsidP="00C23AB4" w:rsidRDefault="00C23AB4" w14:paraId="6FDAD049" w14:textId="77777777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  <w:tcMar/>
          </w:tcPr>
          <w:p w:rsidR="00C23AB4" w:rsidP="6F04BA8A" w:rsidRDefault="00E6039D" w14:paraId="53D006F7" w14:textId="699DCD4B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</w:pPr>
            <w:r w:rsidRPr="6F04BA8A" w:rsidR="5763C15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This is up to </w:t>
            </w:r>
            <w:r w:rsidRPr="6F04BA8A" w:rsidR="13705D48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the applicants</w:t>
            </w:r>
            <w:r w:rsidRPr="6F04BA8A" w:rsidR="5763C15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 to </w:t>
            </w:r>
            <w:r w:rsidRPr="6F04BA8A" w:rsidR="5763C15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determine</w:t>
            </w:r>
            <w:r w:rsidRPr="6F04BA8A" w:rsidR="5763C15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. Usually %ages are </w:t>
            </w:r>
            <w:r w:rsidRPr="6F04BA8A" w:rsidR="2A6E799D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a better</w:t>
            </w:r>
            <w:r w:rsidRPr="6F04BA8A" w:rsidR="5763C15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 fit for outcome indicators and actual numbers for output indicators, but this depends on the indicator and the </w:t>
            </w:r>
            <w:r w:rsidRPr="6F04BA8A" w:rsidR="5763C15E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objective</w:t>
            </w:r>
            <w:r w:rsidRPr="6F04BA8A" w:rsidR="257992CC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.</w:t>
            </w:r>
          </w:p>
          <w:p w:rsidR="00C23AB4" w:rsidP="7B1EDF6D" w:rsidRDefault="00E6039D" w14:paraId="3875685F" w14:textId="65682EFB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</w:pPr>
          </w:p>
        </w:tc>
      </w:tr>
      <w:tr w:rsidR="00C23AB4" w:rsidTr="6A94F017" w14:paraId="3E644BAC" w14:textId="77777777">
        <w:trPr>
          <w:trHeight w:val="268"/>
        </w:trPr>
        <w:tc>
          <w:tcPr>
            <w:tcW w:w="531" w:type="dxa"/>
            <w:tcMar/>
          </w:tcPr>
          <w:p w:rsidR="00C23AB4" w:rsidP="00161877" w:rsidRDefault="00E6039D" w14:paraId="670FCBE1" w14:textId="7B5D3A26">
            <w:pPr>
              <w:pStyle w:val="TableParagraph"/>
              <w:spacing w:line="248" w:lineRule="exact"/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2977" w:type="dxa"/>
            <w:gridSpan w:val="2"/>
            <w:tcMar/>
          </w:tcPr>
          <w:p w:rsidRPr="00C23AB4" w:rsidR="00C23AB4" w:rsidP="7B1EDF6D" w:rsidRDefault="00C23AB4" w14:paraId="28B7CF24" w14:textId="589BB767">
            <w:pPr>
              <w:rPr>
                <w:sz w:val="20"/>
                <w:szCs w:val="20"/>
                <w:lang w:val="en-US"/>
              </w:rPr>
            </w:pPr>
            <w:r w:rsidRPr="7B1EDF6D" w:rsidR="0081517B">
              <w:rPr>
                <w:sz w:val="20"/>
                <w:szCs w:val="20"/>
                <w:lang w:val="en-US"/>
              </w:rPr>
              <w:t xml:space="preserve">Should risks and assumptions be indicated for each </w:t>
            </w:r>
            <w:r w:rsidRPr="7B1EDF6D" w:rsidR="55301497">
              <w:rPr>
                <w:sz w:val="20"/>
                <w:szCs w:val="20"/>
                <w:lang w:val="en-US"/>
              </w:rPr>
              <w:t>objective and output</w:t>
            </w:r>
            <w:r w:rsidRPr="7B1EDF6D" w:rsidR="0081517B">
              <w:rPr>
                <w:sz w:val="20"/>
                <w:szCs w:val="20"/>
                <w:lang w:val="en-US"/>
              </w:rPr>
              <w:t>, or they can be bundled up in</w:t>
            </w:r>
            <w:r w:rsidRPr="7B1EDF6D" w:rsidR="55301497">
              <w:rPr>
                <w:sz w:val="20"/>
                <w:szCs w:val="20"/>
                <w:lang w:val="en-US"/>
              </w:rPr>
              <w:t xml:space="preserve"> </w:t>
            </w:r>
            <w:r w:rsidRPr="7B1EDF6D" w:rsidR="0081517B">
              <w:rPr>
                <w:sz w:val="20"/>
                <w:szCs w:val="20"/>
                <w:lang w:val="en-US"/>
              </w:rPr>
              <w:t>case they are the similar?</w:t>
            </w:r>
          </w:p>
          <w:p w:rsidRPr="00C23AB4" w:rsidR="00C23AB4" w:rsidP="00C23AB4" w:rsidRDefault="00C23AB4" w14:paraId="640D6E52" w14:textId="77777777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  <w:tcMar/>
          </w:tcPr>
          <w:p w:rsidR="00C23AB4" w:rsidP="7B1EDF6D" w:rsidRDefault="00E6039D" w14:paraId="27F754BB" w14:textId="3A061A0B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</w:pPr>
            <w:r w:rsidRPr="6A94F017" w:rsidR="55301497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They can be merged to refer to different objectives/outputs as long </w:t>
            </w:r>
            <w:r w:rsidRPr="6A94F017" w:rsidR="55301497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a</w:t>
            </w:r>
            <w:r w:rsidRPr="6A94F017" w:rsidR="3DD7E7AD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s</w:t>
            </w:r>
            <w:r w:rsidRPr="6A94F017" w:rsidR="55301497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 it is clearly structured what assumptions apply to which objectives/outputs.</w:t>
            </w:r>
          </w:p>
          <w:p w:rsidR="00E6039D" w:rsidP="00161877" w:rsidRDefault="00E6039D" w14:paraId="2EBD26D6" w14:textId="77777777">
            <w:pPr>
              <w:pStyle w:val="TableParagraph"/>
              <w:spacing w:line="248" w:lineRule="exact"/>
              <w:ind w:left="11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E6039D" w:rsidP="6A94F017" w:rsidRDefault="00E6039D" w14:paraId="4CBB2095" w14:textId="5CB93374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</w:pPr>
            <w:r w:rsidRPr="6A94F017" w:rsidR="55301497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The logical framework requires to elaborate ‘assumptions’, </w:t>
            </w:r>
            <w:r w:rsidRPr="6A94F017" w:rsidR="55301497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ie</w:t>
            </w:r>
            <w:r w:rsidRPr="6A94F017" w:rsidR="55301497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 xml:space="preserve">. external factors that must happen to achieve the objective. Risks, </w:t>
            </w:r>
            <w:r w:rsidRPr="6A94F017" w:rsidR="55301497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ie</w:t>
            </w:r>
            <w:r w:rsidRPr="6A94F017" w:rsidR="55301497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  <w:t>. external factors that must be avoided/that can negatively affect the situation, are to be detailed in the risk management matrix.</w:t>
            </w:r>
          </w:p>
          <w:p w:rsidR="00E6039D" w:rsidP="7B1EDF6D" w:rsidRDefault="00E6039D" w14:paraId="724E3C18" w14:textId="4C226A89">
            <w:pPr>
              <w:pStyle w:val="TableParagraph"/>
              <w:spacing w:line="248" w:lineRule="exact"/>
              <w:ind w:left="119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en-US"/>
              </w:rPr>
            </w:pPr>
          </w:p>
        </w:tc>
      </w:tr>
    </w:tbl>
    <w:p w:rsidR="00D0725D" w:rsidRDefault="00D0725D" w14:paraId="77291FF7" w14:textId="77777777"/>
    <w:sectPr w:rsidR="00D0725D">
      <w:headerReference w:type="default" r:id="rId11"/>
      <w:footerReference w:type="default" r:id="rId12"/>
      <w:pgSz w:w="11910" w:h="16840" w:orient="portrait"/>
      <w:pgMar w:top="1420" w:right="1440" w:bottom="840" w:left="1680" w:header="855" w:footer="654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2514" w:rsidRDefault="00612514" w14:paraId="06C44C4E" w14:textId="77777777">
      <w:r>
        <w:separator/>
      </w:r>
    </w:p>
  </w:endnote>
  <w:endnote w:type="continuationSeparator" w:id="0">
    <w:p w:rsidR="00612514" w:rsidRDefault="00612514" w14:paraId="042627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356071" w:rsidRDefault="00A85AE0" w14:paraId="1270D14E" w14:textId="0C8DDE5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D30B2F8" wp14:editId="124C19FE">
              <wp:simplePos x="0" y="0"/>
              <wp:positionH relativeFrom="page">
                <wp:posOffset>6391275</wp:posOffset>
              </wp:positionH>
              <wp:positionV relativeFrom="page">
                <wp:posOffset>10086340</wp:posOffset>
              </wp:positionV>
              <wp:extent cx="219710" cy="165735"/>
              <wp:effectExtent l="0" t="0" r="0" b="0"/>
              <wp:wrapNone/>
              <wp:docPr id="18038315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071" w:rsidRDefault="00574422" w14:paraId="304EAEAF" w14:textId="77777777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30B2F8">
              <v:stroke joinstyle="miter"/>
              <v:path gradientshapeok="t" o:connecttype="rect"/>
            </v:shapetype>
            <v:shape id="Text Box 1" style="position:absolute;margin-left:503.25pt;margin-top:794.2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dqwg/+EAAAAPAQAADwAAAAAAAAAAAAAAAAAvBAAAZHJzL2Rvd25yZXYueG1sUEsFBgAAAAAEAAQA&#10;8wAAAD0FAAAAAA==&#10;">
              <v:textbox inset="0,0,0,0">
                <w:txbxContent>
                  <w:p w:rsidR="00356071" w:rsidRDefault="00574422" w14:paraId="304EAEAF" w14:textId="77777777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2514" w:rsidRDefault="00612514" w14:paraId="2C3BBABD" w14:textId="77777777">
      <w:r>
        <w:separator/>
      </w:r>
    </w:p>
  </w:footnote>
  <w:footnote w:type="continuationSeparator" w:id="0">
    <w:p w:rsidR="00612514" w:rsidRDefault="00612514" w14:paraId="29F75E2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56071" w:rsidRDefault="00574422" w14:paraId="6966459B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3E2C117" wp14:editId="7D1657BC">
          <wp:simplePos x="0" y="0"/>
          <wp:positionH relativeFrom="page">
            <wp:posOffset>771481</wp:posOffset>
          </wp:positionH>
          <wp:positionV relativeFrom="page">
            <wp:posOffset>542869</wp:posOffset>
          </wp:positionV>
          <wp:extent cx="1031073" cy="371183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1073" cy="3711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9F084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FFD4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C42C49"/>
    <w:multiLevelType w:val="hybridMultilevel"/>
    <w:tmpl w:val="0B587D3E"/>
    <w:lvl w:ilvl="0" w:tplc="686454EA">
      <w:start w:val="4"/>
      <w:numFmt w:val="bullet"/>
      <w:lvlText w:val="-"/>
      <w:lvlJc w:val="left"/>
      <w:pPr>
        <w:ind w:left="479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19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1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3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5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7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9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1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39" w:hanging="360"/>
      </w:pPr>
      <w:rPr>
        <w:rFonts w:hint="default" w:ascii="Wingdings" w:hAnsi="Wingdings"/>
      </w:rPr>
    </w:lvl>
  </w:abstractNum>
  <w:abstractNum w:abstractNumId="4" w15:restartNumberingAfterBreak="0">
    <w:nsid w:val="0C636253"/>
    <w:multiLevelType w:val="multilevel"/>
    <w:tmpl w:val="D0C0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B798E"/>
    <w:multiLevelType w:val="hybridMultilevel"/>
    <w:tmpl w:val="23526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D7809"/>
    <w:multiLevelType w:val="multilevel"/>
    <w:tmpl w:val="83C6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C0EDCB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99C25B3"/>
    <w:multiLevelType w:val="multilevel"/>
    <w:tmpl w:val="D7683E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1577AE"/>
    <w:multiLevelType w:val="hybridMultilevel"/>
    <w:tmpl w:val="46D6DE3A"/>
    <w:lvl w:ilvl="0" w:tplc="F3B0476E">
      <w:numFmt w:val="bullet"/>
      <w:lvlText w:val=""/>
      <w:lvlJc w:val="left"/>
      <w:pPr>
        <w:ind w:left="118" w:hanging="615"/>
      </w:pPr>
      <w:rPr>
        <w:rFonts w:hint="default" w:ascii="Symbol" w:hAnsi="Symbol" w:eastAsia="Symbol" w:cs="Symbol"/>
        <w:color w:val="2E5395"/>
        <w:w w:val="99"/>
        <w:sz w:val="20"/>
        <w:szCs w:val="20"/>
        <w:lang w:val="en-US" w:eastAsia="en-US" w:bidi="ar-SA"/>
      </w:rPr>
    </w:lvl>
    <w:lvl w:ilvl="1" w:tplc="D0365B68">
      <w:numFmt w:val="bullet"/>
      <w:lvlText w:val="•"/>
      <w:lvlJc w:val="left"/>
      <w:pPr>
        <w:ind w:left="608" w:hanging="615"/>
      </w:pPr>
      <w:rPr>
        <w:rFonts w:hint="default"/>
        <w:lang w:val="en-US" w:eastAsia="en-US" w:bidi="ar-SA"/>
      </w:rPr>
    </w:lvl>
    <w:lvl w:ilvl="2" w:tplc="28EC4F34">
      <w:numFmt w:val="bullet"/>
      <w:lvlText w:val="•"/>
      <w:lvlJc w:val="left"/>
      <w:pPr>
        <w:ind w:left="1097" w:hanging="615"/>
      </w:pPr>
      <w:rPr>
        <w:rFonts w:hint="default"/>
        <w:lang w:val="en-US" w:eastAsia="en-US" w:bidi="ar-SA"/>
      </w:rPr>
    </w:lvl>
    <w:lvl w:ilvl="3" w:tplc="1320099A">
      <w:numFmt w:val="bullet"/>
      <w:lvlText w:val="•"/>
      <w:lvlJc w:val="left"/>
      <w:pPr>
        <w:ind w:left="1586" w:hanging="615"/>
      </w:pPr>
      <w:rPr>
        <w:rFonts w:hint="default"/>
        <w:lang w:val="en-US" w:eastAsia="en-US" w:bidi="ar-SA"/>
      </w:rPr>
    </w:lvl>
    <w:lvl w:ilvl="4" w:tplc="D642301E">
      <w:numFmt w:val="bullet"/>
      <w:lvlText w:val="•"/>
      <w:lvlJc w:val="left"/>
      <w:pPr>
        <w:ind w:left="2075" w:hanging="615"/>
      </w:pPr>
      <w:rPr>
        <w:rFonts w:hint="default"/>
        <w:lang w:val="en-US" w:eastAsia="en-US" w:bidi="ar-SA"/>
      </w:rPr>
    </w:lvl>
    <w:lvl w:ilvl="5" w:tplc="46602D04">
      <w:numFmt w:val="bullet"/>
      <w:lvlText w:val="•"/>
      <w:lvlJc w:val="left"/>
      <w:pPr>
        <w:ind w:left="2564" w:hanging="615"/>
      </w:pPr>
      <w:rPr>
        <w:rFonts w:hint="default"/>
        <w:lang w:val="en-US" w:eastAsia="en-US" w:bidi="ar-SA"/>
      </w:rPr>
    </w:lvl>
    <w:lvl w:ilvl="6" w:tplc="3FF636EA">
      <w:numFmt w:val="bullet"/>
      <w:lvlText w:val="•"/>
      <w:lvlJc w:val="left"/>
      <w:pPr>
        <w:ind w:left="3052" w:hanging="615"/>
      </w:pPr>
      <w:rPr>
        <w:rFonts w:hint="default"/>
        <w:lang w:val="en-US" w:eastAsia="en-US" w:bidi="ar-SA"/>
      </w:rPr>
    </w:lvl>
    <w:lvl w:ilvl="7" w:tplc="24DECD84">
      <w:numFmt w:val="bullet"/>
      <w:lvlText w:val="•"/>
      <w:lvlJc w:val="left"/>
      <w:pPr>
        <w:ind w:left="3541" w:hanging="615"/>
      </w:pPr>
      <w:rPr>
        <w:rFonts w:hint="default"/>
        <w:lang w:val="en-US" w:eastAsia="en-US" w:bidi="ar-SA"/>
      </w:rPr>
    </w:lvl>
    <w:lvl w:ilvl="8" w:tplc="B87E6C1A">
      <w:numFmt w:val="bullet"/>
      <w:lvlText w:val="•"/>
      <w:lvlJc w:val="left"/>
      <w:pPr>
        <w:ind w:left="4030" w:hanging="615"/>
      </w:pPr>
      <w:rPr>
        <w:rFonts w:hint="default"/>
        <w:lang w:val="en-US" w:eastAsia="en-US" w:bidi="ar-SA"/>
      </w:rPr>
    </w:lvl>
  </w:abstractNum>
  <w:abstractNum w:abstractNumId="10" w15:restartNumberingAfterBreak="0">
    <w:nsid w:val="56426419"/>
    <w:multiLevelType w:val="hybridMultilevel"/>
    <w:tmpl w:val="DAC2E6D4"/>
    <w:lvl w:ilvl="0" w:tplc="7C40093E">
      <w:start w:val="10"/>
      <w:numFmt w:val="bullet"/>
      <w:lvlText w:val="-"/>
      <w:lvlJc w:val="left"/>
      <w:pPr>
        <w:ind w:left="478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19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1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3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5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7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9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1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38" w:hanging="360"/>
      </w:pPr>
      <w:rPr>
        <w:rFonts w:hint="default" w:ascii="Wingdings" w:hAnsi="Wingdings"/>
      </w:rPr>
    </w:lvl>
  </w:abstractNum>
  <w:abstractNum w:abstractNumId="11" w15:restartNumberingAfterBreak="0">
    <w:nsid w:val="7CA5272C"/>
    <w:multiLevelType w:val="multilevel"/>
    <w:tmpl w:val="E6F2917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8313869">
    <w:abstractNumId w:val="9"/>
  </w:num>
  <w:num w:numId="2" w16cid:durableId="1267033418">
    <w:abstractNumId w:val="5"/>
  </w:num>
  <w:num w:numId="3" w16cid:durableId="1964579320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2082436974">
    <w:abstractNumId w:val="2"/>
  </w:num>
  <w:num w:numId="5" w16cid:durableId="1851024807">
    <w:abstractNumId w:val="1"/>
  </w:num>
  <w:num w:numId="6" w16cid:durableId="1855994941">
    <w:abstractNumId w:val="4"/>
  </w:num>
  <w:num w:numId="7" w16cid:durableId="157580807">
    <w:abstractNumId w:val="7"/>
  </w:num>
  <w:num w:numId="8" w16cid:durableId="2092578843">
    <w:abstractNumId w:val="3"/>
  </w:num>
  <w:num w:numId="9" w16cid:durableId="1805391715">
    <w:abstractNumId w:val="0"/>
  </w:num>
  <w:num w:numId="10" w16cid:durableId="1747191504">
    <w:abstractNumId w:val="8"/>
  </w:num>
  <w:num w:numId="11" w16cid:durableId="425688481">
    <w:abstractNumId w:val="11"/>
  </w:num>
  <w:num w:numId="12" w16cid:durableId="1895386268">
    <w:abstractNumId w:val="1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71"/>
    <w:rsid w:val="00084432"/>
    <w:rsid w:val="000D2CB2"/>
    <w:rsid w:val="000F0E01"/>
    <w:rsid w:val="000F1EFE"/>
    <w:rsid w:val="00161877"/>
    <w:rsid w:val="00180C6E"/>
    <w:rsid w:val="00191050"/>
    <w:rsid w:val="001F4D08"/>
    <w:rsid w:val="0023F950"/>
    <w:rsid w:val="002B58E1"/>
    <w:rsid w:val="002F78EF"/>
    <w:rsid w:val="00303D7F"/>
    <w:rsid w:val="00356071"/>
    <w:rsid w:val="003B188F"/>
    <w:rsid w:val="003F6332"/>
    <w:rsid w:val="004215C5"/>
    <w:rsid w:val="00491DE6"/>
    <w:rsid w:val="004947A8"/>
    <w:rsid w:val="004E3EFC"/>
    <w:rsid w:val="004F025D"/>
    <w:rsid w:val="00507C4D"/>
    <w:rsid w:val="00574422"/>
    <w:rsid w:val="005A516B"/>
    <w:rsid w:val="005B1411"/>
    <w:rsid w:val="00612514"/>
    <w:rsid w:val="00657EB6"/>
    <w:rsid w:val="00665A21"/>
    <w:rsid w:val="0070177B"/>
    <w:rsid w:val="007739D0"/>
    <w:rsid w:val="00796E4F"/>
    <w:rsid w:val="008032BF"/>
    <w:rsid w:val="0081517B"/>
    <w:rsid w:val="008455D9"/>
    <w:rsid w:val="00882308"/>
    <w:rsid w:val="00896724"/>
    <w:rsid w:val="008A081A"/>
    <w:rsid w:val="008D5EFD"/>
    <w:rsid w:val="009675DE"/>
    <w:rsid w:val="00967B29"/>
    <w:rsid w:val="009A6C53"/>
    <w:rsid w:val="009E7B21"/>
    <w:rsid w:val="00A30D9F"/>
    <w:rsid w:val="00A5002E"/>
    <w:rsid w:val="00A85AE0"/>
    <w:rsid w:val="00B21506"/>
    <w:rsid w:val="00B3778C"/>
    <w:rsid w:val="00B46CC6"/>
    <w:rsid w:val="00B65490"/>
    <w:rsid w:val="00B90737"/>
    <w:rsid w:val="00BB0B73"/>
    <w:rsid w:val="00BB1829"/>
    <w:rsid w:val="00BB1897"/>
    <w:rsid w:val="00BC0DE4"/>
    <w:rsid w:val="00BD3B2C"/>
    <w:rsid w:val="00BE373F"/>
    <w:rsid w:val="00C05B33"/>
    <w:rsid w:val="00C15EBA"/>
    <w:rsid w:val="00C23AB4"/>
    <w:rsid w:val="00C5227A"/>
    <w:rsid w:val="00CD5C05"/>
    <w:rsid w:val="00D0725D"/>
    <w:rsid w:val="00D1EAF0"/>
    <w:rsid w:val="00D25CC5"/>
    <w:rsid w:val="00D70101"/>
    <w:rsid w:val="00D947EF"/>
    <w:rsid w:val="00D95CD4"/>
    <w:rsid w:val="00E33AAC"/>
    <w:rsid w:val="00E6039D"/>
    <w:rsid w:val="00F034C4"/>
    <w:rsid w:val="00F12580"/>
    <w:rsid w:val="00F17881"/>
    <w:rsid w:val="00F624C2"/>
    <w:rsid w:val="00F8478B"/>
    <w:rsid w:val="0279C93D"/>
    <w:rsid w:val="0399A48D"/>
    <w:rsid w:val="039F0961"/>
    <w:rsid w:val="04ADEDE3"/>
    <w:rsid w:val="04C0830E"/>
    <w:rsid w:val="050918BE"/>
    <w:rsid w:val="055E7905"/>
    <w:rsid w:val="06752D62"/>
    <w:rsid w:val="079C4662"/>
    <w:rsid w:val="08129707"/>
    <w:rsid w:val="081BAF36"/>
    <w:rsid w:val="0844D70F"/>
    <w:rsid w:val="0884A563"/>
    <w:rsid w:val="08AE420C"/>
    <w:rsid w:val="08BC5387"/>
    <w:rsid w:val="09CEE8A9"/>
    <w:rsid w:val="0A2F48E0"/>
    <w:rsid w:val="0AA21A26"/>
    <w:rsid w:val="0BB05B8C"/>
    <w:rsid w:val="0BC64A2B"/>
    <w:rsid w:val="0C05152C"/>
    <w:rsid w:val="0F39B44B"/>
    <w:rsid w:val="0FC3F9E0"/>
    <w:rsid w:val="11433794"/>
    <w:rsid w:val="11A02050"/>
    <w:rsid w:val="11A2995E"/>
    <w:rsid w:val="11A3830A"/>
    <w:rsid w:val="11BC9266"/>
    <w:rsid w:val="12069BB8"/>
    <w:rsid w:val="120FDD31"/>
    <w:rsid w:val="121A15C1"/>
    <w:rsid w:val="13705D48"/>
    <w:rsid w:val="13742538"/>
    <w:rsid w:val="139A8111"/>
    <w:rsid w:val="13CDCF74"/>
    <w:rsid w:val="1432DD20"/>
    <w:rsid w:val="16524383"/>
    <w:rsid w:val="16A95BF4"/>
    <w:rsid w:val="182E6432"/>
    <w:rsid w:val="183B282F"/>
    <w:rsid w:val="199F97FE"/>
    <w:rsid w:val="1AA428C7"/>
    <w:rsid w:val="1AB4848A"/>
    <w:rsid w:val="1C506A9B"/>
    <w:rsid w:val="1C9949CF"/>
    <w:rsid w:val="1CB77447"/>
    <w:rsid w:val="1D418430"/>
    <w:rsid w:val="1D831741"/>
    <w:rsid w:val="1D965D70"/>
    <w:rsid w:val="1E8F077C"/>
    <w:rsid w:val="1EEDC89B"/>
    <w:rsid w:val="1F0F38ED"/>
    <w:rsid w:val="20D7BB44"/>
    <w:rsid w:val="21E41845"/>
    <w:rsid w:val="238719FF"/>
    <w:rsid w:val="23E0A221"/>
    <w:rsid w:val="250A48FE"/>
    <w:rsid w:val="250CA6F9"/>
    <w:rsid w:val="257992CC"/>
    <w:rsid w:val="26140E66"/>
    <w:rsid w:val="26384081"/>
    <w:rsid w:val="26AB93BE"/>
    <w:rsid w:val="27A22C88"/>
    <w:rsid w:val="28F51195"/>
    <w:rsid w:val="296275BE"/>
    <w:rsid w:val="29CB0AF0"/>
    <w:rsid w:val="29F8D8D5"/>
    <w:rsid w:val="2A301EB8"/>
    <w:rsid w:val="2A6E799D"/>
    <w:rsid w:val="2AD116AE"/>
    <w:rsid w:val="2AD736CA"/>
    <w:rsid w:val="2B1E505B"/>
    <w:rsid w:val="2B6FB6CE"/>
    <w:rsid w:val="2C2AFCD3"/>
    <w:rsid w:val="2D5FE340"/>
    <w:rsid w:val="2D64F690"/>
    <w:rsid w:val="2D8BB993"/>
    <w:rsid w:val="2E10CE17"/>
    <w:rsid w:val="2E4520D1"/>
    <w:rsid w:val="2E93D6CF"/>
    <w:rsid w:val="2E95C619"/>
    <w:rsid w:val="2EE96E08"/>
    <w:rsid w:val="2F8D5319"/>
    <w:rsid w:val="30361FBE"/>
    <w:rsid w:val="3104CEA5"/>
    <w:rsid w:val="31097069"/>
    <w:rsid w:val="31F9AF0D"/>
    <w:rsid w:val="328A9B58"/>
    <w:rsid w:val="32C2C78A"/>
    <w:rsid w:val="32FC4CE7"/>
    <w:rsid w:val="32FF3008"/>
    <w:rsid w:val="33652A12"/>
    <w:rsid w:val="34894D87"/>
    <w:rsid w:val="3642589B"/>
    <w:rsid w:val="3780F65E"/>
    <w:rsid w:val="37A66758"/>
    <w:rsid w:val="37ACE3C9"/>
    <w:rsid w:val="3820EA95"/>
    <w:rsid w:val="383EE2B5"/>
    <w:rsid w:val="38A4F257"/>
    <w:rsid w:val="3992E420"/>
    <w:rsid w:val="39A76E0E"/>
    <w:rsid w:val="39BD8F6D"/>
    <w:rsid w:val="3A4742C7"/>
    <w:rsid w:val="3A5FC539"/>
    <w:rsid w:val="3AC87B05"/>
    <w:rsid w:val="3AF35D41"/>
    <w:rsid w:val="3B74B3F4"/>
    <w:rsid w:val="3BA8FF34"/>
    <w:rsid w:val="3BC647A3"/>
    <w:rsid w:val="3C03B49E"/>
    <w:rsid w:val="3C41C3E6"/>
    <w:rsid w:val="3C8FAF63"/>
    <w:rsid w:val="3CEA1CBB"/>
    <w:rsid w:val="3D191C9F"/>
    <w:rsid w:val="3D71D683"/>
    <w:rsid w:val="3DD7E7AD"/>
    <w:rsid w:val="3EC3B641"/>
    <w:rsid w:val="3FBA6E07"/>
    <w:rsid w:val="3FCB5581"/>
    <w:rsid w:val="405C76C8"/>
    <w:rsid w:val="43A50908"/>
    <w:rsid w:val="44FEFB71"/>
    <w:rsid w:val="460A95DF"/>
    <w:rsid w:val="468313D0"/>
    <w:rsid w:val="46D30254"/>
    <w:rsid w:val="470EE105"/>
    <w:rsid w:val="473AD9C5"/>
    <w:rsid w:val="4783E943"/>
    <w:rsid w:val="48824E4A"/>
    <w:rsid w:val="494E9E28"/>
    <w:rsid w:val="4A7E4BC3"/>
    <w:rsid w:val="4B9F0275"/>
    <w:rsid w:val="4BF8BFDD"/>
    <w:rsid w:val="4C69197E"/>
    <w:rsid w:val="4C6F202A"/>
    <w:rsid w:val="4DE0C1BA"/>
    <w:rsid w:val="4EBEE867"/>
    <w:rsid w:val="4EE0648E"/>
    <w:rsid w:val="50858F12"/>
    <w:rsid w:val="513E2391"/>
    <w:rsid w:val="51B70877"/>
    <w:rsid w:val="51DB40E6"/>
    <w:rsid w:val="521C027C"/>
    <w:rsid w:val="53015ED0"/>
    <w:rsid w:val="5447DB27"/>
    <w:rsid w:val="547508BD"/>
    <w:rsid w:val="54F2F79D"/>
    <w:rsid w:val="55049E99"/>
    <w:rsid w:val="55097644"/>
    <w:rsid w:val="55231852"/>
    <w:rsid w:val="55301497"/>
    <w:rsid w:val="56185A04"/>
    <w:rsid w:val="57508BCE"/>
    <w:rsid w:val="5763C15E"/>
    <w:rsid w:val="5801C1BE"/>
    <w:rsid w:val="580F4637"/>
    <w:rsid w:val="5872344E"/>
    <w:rsid w:val="594D25FD"/>
    <w:rsid w:val="59B0F2FB"/>
    <w:rsid w:val="5B0C5FF7"/>
    <w:rsid w:val="5B2366D2"/>
    <w:rsid w:val="5B5EE6E2"/>
    <w:rsid w:val="5C4FA1B9"/>
    <w:rsid w:val="5C7FBDA6"/>
    <w:rsid w:val="5C8A5F6E"/>
    <w:rsid w:val="5CF11C02"/>
    <w:rsid w:val="5DD00A79"/>
    <w:rsid w:val="5DDB4DA5"/>
    <w:rsid w:val="5F184559"/>
    <w:rsid w:val="5F49A467"/>
    <w:rsid w:val="5F7D2B46"/>
    <w:rsid w:val="6011E6F8"/>
    <w:rsid w:val="60572F4C"/>
    <w:rsid w:val="60D51713"/>
    <w:rsid w:val="61A79DE9"/>
    <w:rsid w:val="629F90E1"/>
    <w:rsid w:val="62F6854F"/>
    <w:rsid w:val="636C8ACC"/>
    <w:rsid w:val="641658F0"/>
    <w:rsid w:val="6444DCFA"/>
    <w:rsid w:val="6566C8CD"/>
    <w:rsid w:val="6593D793"/>
    <w:rsid w:val="65AD53BD"/>
    <w:rsid w:val="65C45B92"/>
    <w:rsid w:val="664B0681"/>
    <w:rsid w:val="66847AB7"/>
    <w:rsid w:val="668DADFB"/>
    <w:rsid w:val="6750E179"/>
    <w:rsid w:val="67520B70"/>
    <w:rsid w:val="6784C00F"/>
    <w:rsid w:val="68806AE8"/>
    <w:rsid w:val="6918572A"/>
    <w:rsid w:val="6A6BE543"/>
    <w:rsid w:val="6A94F017"/>
    <w:rsid w:val="6AA8E4FE"/>
    <w:rsid w:val="6AF5DFE5"/>
    <w:rsid w:val="6AF83283"/>
    <w:rsid w:val="6B10660D"/>
    <w:rsid w:val="6B32AFAB"/>
    <w:rsid w:val="6BC6DE55"/>
    <w:rsid w:val="6C049D84"/>
    <w:rsid w:val="6C710526"/>
    <w:rsid w:val="6C893B4D"/>
    <w:rsid w:val="6C98A7F4"/>
    <w:rsid w:val="6CACA735"/>
    <w:rsid w:val="6DD459AE"/>
    <w:rsid w:val="6F04BA8A"/>
    <w:rsid w:val="6F9A31E4"/>
    <w:rsid w:val="6FE62EF8"/>
    <w:rsid w:val="7154812D"/>
    <w:rsid w:val="7261DCE3"/>
    <w:rsid w:val="7322475C"/>
    <w:rsid w:val="74B684ED"/>
    <w:rsid w:val="74F41BE9"/>
    <w:rsid w:val="75D4B3BB"/>
    <w:rsid w:val="75F7137E"/>
    <w:rsid w:val="76109880"/>
    <w:rsid w:val="763B9625"/>
    <w:rsid w:val="76DF9CEB"/>
    <w:rsid w:val="770B6999"/>
    <w:rsid w:val="7A63C91E"/>
    <w:rsid w:val="7B1EDF6D"/>
    <w:rsid w:val="7B74866D"/>
    <w:rsid w:val="7BD20838"/>
    <w:rsid w:val="7C106D98"/>
    <w:rsid w:val="7C34BA36"/>
    <w:rsid w:val="7C6BC3E5"/>
    <w:rsid w:val="7CCE5A9A"/>
    <w:rsid w:val="7DAEDF6A"/>
    <w:rsid w:val="7E00CCA5"/>
    <w:rsid w:val="7E24B2CB"/>
    <w:rsid w:val="7E942B68"/>
    <w:rsid w:val="7F047B33"/>
    <w:rsid w:val="7F4D5B38"/>
    <w:rsid w:val="7F986D0B"/>
    <w:rsid w:val="7FA7D343"/>
    <w:rsid w:val="7FB8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3E183"/>
  <w15:docId w15:val="{65334660-93C6-464D-84AF-28CBA291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51"/>
      <w:ind w:left="1970" w:right="1925" w:hanging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  <w:pPr>
      <w:ind w:left="13"/>
    </w:pPr>
  </w:style>
  <w:style w:type="character" w:styleId="Hyperlink">
    <w:name w:val="Hyperlink"/>
    <w:basedOn w:val="DefaultParagraphFont"/>
    <w:uiPriority w:val="99"/>
    <w:unhideWhenUsed/>
    <w:rsid w:val="000F0E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E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15C5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1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DE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91DE6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DE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91DE6"/>
    <w:rPr>
      <w:rFonts w:ascii="Calibri" w:hAnsi="Calibri" w:eastAsia="Calibri" w:cs="Calibri"/>
      <w:b/>
      <w:bCs/>
      <w:sz w:val="20"/>
      <w:szCs w:val="20"/>
    </w:rPr>
  </w:style>
  <w:style w:type="paragraph" w:styleId="Default" w:customStyle="1">
    <w:name w:val="Default"/>
    <w:rsid w:val="00491DE6"/>
    <w:pPr>
      <w:widowControl/>
      <w:adjustRightInd w:val="0"/>
    </w:pPr>
    <w:rPr>
      <w:rFonts w:ascii="Georgia" w:hAnsi="Georgia" w:cs="Georgia"/>
      <w:color w:val="00000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6C53"/>
    <w:pPr>
      <w:tabs>
        <w:tab w:val="center" w:pos="4536"/>
        <w:tab w:val="right" w:pos="9072"/>
      </w:tabs>
      <w:suppressAutoHyphens/>
      <w:autoSpaceDE/>
      <w:autoSpaceDN/>
    </w:pPr>
    <w:rPr>
      <w:rFonts w:ascii="Arial" w:hAnsi="Arial" w:eastAsia="Arial Unicode MS" w:cs="Tahoma"/>
      <w:kern w:val="1"/>
      <w:sz w:val="18"/>
      <w:szCs w:val="24"/>
      <w:lang w:val="fr-FR" w:eastAsia="nl-BE"/>
    </w:rPr>
  </w:style>
  <w:style w:type="character" w:styleId="FooterChar" w:customStyle="1">
    <w:name w:val="Footer Char"/>
    <w:basedOn w:val="DefaultParagraphFont"/>
    <w:link w:val="Footer"/>
    <w:uiPriority w:val="99"/>
    <w:rsid w:val="009A6C53"/>
    <w:rPr>
      <w:rFonts w:ascii="Arial" w:hAnsi="Arial" w:eastAsia="Arial Unicode MS" w:cs="Tahoma"/>
      <w:kern w:val="1"/>
      <w:sz w:val="18"/>
      <w:szCs w:val="24"/>
      <w:lang w:val="fr-FR" w:eastAsia="nl-BE"/>
    </w:rPr>
  </w:style>
  <w:style w:type="paragraph" w:styleId="NoSpacing">
    <w:name w:val="No Spacing"/>
    <w:aliases w:val="without interline"/>
    <w:uiPriority w:val="1"/>
    <w:qFormat/>
    <w:rsid w:val="009A6C53"/>
    <w:pPr>
      <w:widowControl/>
      <w:autoSpaceDE/>
      <w:autoSpaceDN/>
    </w:pPr>
    <w:rPr>
      <w:rFonts w:ascii="Georgia" w:hAnsi="Georgia" w:eastAsia="Calibri" w:cs="Times New Roman"/>
      <w:color w:val="585756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25CC5"/>
    <w:pPr>
      <w:widowControl/>
      <w:autoSpaceDE/>
      <w:autoSpaceDN/>
    </w:pPr>
    <w:rPr>
      <w:rFonts w:ascii="Calibri" w:hAnsi="Calibri" w:eastAsia="Calibri" w:cs="Calibri"/>
    </w:rPr>
  </w:style>
  <w:style w:type="table" w:styleId="TableGrid">
    <w:name w:val="Table Grid"/>
    <w:basedOn w:val="TableNormal"/>
    <w:uiPriority w:val="39"/>
    <w:rsid w:val="00BC0DE4"/>
    <w:pPr>
      <w:widowControl/>
      <w:autoSpaceDE/>
      <w:autoSpaceDN/>
    </w:pPr>
    <w:rPr>
      <w:kern w:val="2"/>
      <w:lang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tasks.xml><?xml version="1.0" encoding="utf-8"?>
<t:Tasks xmlns:t="http://schemas.microsoft.com/office/tasks/2019/documenttasks" xmlns:oel="http://schemas.microsoft.com/office/2019/extlst">
  <t:Task id="{3DA0007F-EF35-45AD-A2FB-5F9F061CC61A}">
    <t:Anchor>
      <t:Comment id="1568186304"/>
    </t:Anchor>
    <t:History>
      <t:Event id="{611BF363-D4F7-40D1-9A61-2F0A3D33EE51}" time="2025-02-18T07:16:48.46Z">
        <t:Attribution userId="S::laura.taminau@enabel.be::f80d331c-3b8d-45c6-928e-1a525d06c601" userProvider="AD" userName="TAMINAU, Laura"/>
        <t:Anchor>
          <t:Comment id="1568186304"/>
        </t:Anchor>
        <t:Create/>
      </t:Event>
      <t:Event id="{C52F5670-E925-400A-B8D8-1D45DBC4F0D4}" time="2025-02-18T07:16:48.46Z">
        <t:Attribution userId="S::laura.taminau@enabel.be::f80d331c-3b8d-45c6-928e-1a525d06c601" userProvider="AD" userName="TAMINAU, Laura"/>
        <t:Anchor>
          <t:Comment id="1568186304"/>
        </t:Anchor>
        <t:Assign userId="S::macmillan.apedo@enabel.be::f87bfd55-5f10-4b93-a3c6-67b5565543da" userProvider="AD" userName="APEDO, Macmillan"/>
      </t:Event>
      <t:Event id="{A4C3B71C-DFC8-438D-A43E-678429F7C4E6}" time="2025-02-18T07:16:48.46Z">
        <t:Attribution userId="S::laura.taminau@enabel.be::f80d331c-3b8d-45c6-928e-1a525d06c601" userProvider="AD" userName="TAMINAU, Laura"/>
        <t:Anchor>
          <t:Comment id="1568186304"/>
        </t:Anchor>
        <t:SetTitle title="@APEDO, Macmillan it is allowed under management costs; @SSEKIWANDA, Bonny can you please clarify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11/relationships/people" Target="people.xml" Id="Rbb5c5864eba24d8d" /><Relationship Type="http://schemas.microsoft.com/office/2011/relationships/commentsExtended" Target="commentsExtended.xml" Id="R98dadac15ca344dc" /><Relationship Type="http://schemas.microsoft.com/office/2016/09/relationships/commentsIds" Target="commentsIds.xml" Id="Rd32bd95465404799" /><Relationship Type="http://schemas.microsoft.com/office/2019/05/relationships/documenttasks" Target="tasks.xml" Id="R772352388709400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TaxCatchAll xmlns="3a2cca07-d411-4b48-b7e8-c526dfd39ce0">
      <Value>5</Value>
      <Value>1</Value>
    </TaxCatchAll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_ip_UnifiedCompliancePolicyProperties xmlns="http://schemas.microsoft.com/sharepoint/v3" xsi:nil="true"/>
    <lcf76f155ced4ddcb4097134ff3c332f xmlns="f3391a51-24a2-4aff-bc36-b8bafdb70464">
      <Terms xmlns="http://schemas.microsoft.com/office/infopath/2007/PartnerControls"/>
    </lcf76f155ced4ddcb4097134ff3c332f>
    <j50cb40f2a0941d2947e6bcbd5d19dce xmlns="14a9c00f-d9e3-4eb9-aad3-f69239d17d9c">
      <Terms xmlns="http://schemas.microsoft.com/office/infopath/2007/PartnerControls"/>
    </j50cb40f2a0941d2947e6bcbd5d19dce>
    <_Flow_SignoffStatus xmlns="f3391a51-24a2-4aff-bc36-b8bafdb70464" xsi:nil="true"/>
    <kecc0e8a0a3349c79c5d1d6e51bea7c3 xmlns="14a9c00f-d9e3-4eb9-aad3-f69239d17d9c">
      <Terms xmlns="http://schemas.microsoft.com/office/infopath/2007/PartnerControls"/>
    </kecc0e8a0a3349c79c5d1d6e51bea7c3>
    <_dlc_DocId xmlns="508ba6eb-9e09-4fd5-92f2-2d9921329f2d">UGAENABEL-403665430-410142</_dlc_DocId>
    <_dlc_DocIdUrl xmlns="508ba6eb-9e09-4fd5-92f2-2d9921329f2d">
      <Url>https://enabelbe.sharepoint.com/sites/UGA/_layouts/15/DocIdRedir.aspx?ID=UGAENABEL-403665430-410142</Url>
      <Description>UGAENABEL-403665430-410142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2" ma:contentTypeDescription="Create a new document." ma:contentTypeScope="" ma:versionID="e4d5a130a4edddc8504855dad8424462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5fe2d63b81e4221dd6eefe4026181071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  <xsd:element ref="ns6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5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9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429D82-0F8B-4EC7-9B6F-5531BF905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88317-6E5B-43D1-8060-B878281223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a9c00f-d9e3-4eb9-aad3-f69239d17d9c"/>
    <ds:schemaRef ds:uri="3a2cca07-d411-4b48-b7e8-c526dfd39ce0"/>
    <ds:schemaRef ds:uri="f3391a51-24a2-4aff-bc36-b8bafdb70464"/>
    <ds:schemaRef ds:uri="508ba6eb-9e09-4fd5-92f2-2d9921329f2d"/>
  </ds:schemaRefs>
</ds:datastoreItem>
</file>

<file path=customXml/itemProps3.xml><?xml version="1.0" encoding="utf-8"?>
<ds:datastoreItem xmlns:ds="http://schemas.openxmlformats.org/officeDocument/2006/customXml" ds:itemID="{B4FAFD13-8C66-4C97-83F7-B15B85003153}"/>
</file>

<file path=customXml/itemProps4.xml><?xml version="1.0" encoding="utf-8"?>
<ds:datastoreItem xmlns:ds="http://schemas.openxmlformats.org/officeDocument/2006/customXml" ds:itemID="{72033EAD-CF59-4268-8C7C-D66588CB1912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ENABEL</dc:creator>
  <cp:lastModifiedBy>ASINGWIRE, Sandra</cp:lastModifiedBy>
  <cp:revision>47</cp:revision>
  <dcterms:created xsi:type="dcterms:W3CDTF">2025-02-14T09:29:00Z</dcterms:created>
  <dcterms:modified xsi:type="dcterms:W3CDTF">2025-02-20T12:26:14Z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2024-07-12T00:00:00Z</vt:filetime>
  </property>
  <property fmtid="{D5CDD505-2E9C-101B-9397-08002B2CF9AE}" pid="5" name="ContentTypeId">
    <vt:lpwstr>0x010100A054E23CC720224AB55CD5109E0645C000D68A28B51D514D40849FE8116A39ECA6</vt:lpwstr>
  </property>
  <property fmtid="{D5CDD505-2E9C-101B-9397-08002B2CF9AE}" pid="6" name="Document_Language">
    <vt:lpwstr>5;#EN|eb0f068f-7d92-44c4-a2e1-052290512cff</vt:lpwstr>
  </property>
  <property fmtid="{D5CDD505-2E9C-101B-9397-08002B2CF9AE}" pid="7" name="Country">
    <vt:lpwstr>1;#UGA|1e7ef116-7281-487b-a68a-9c110788cf77</vt:lpwstr>
  </property>
  <property fmtid="{D5CDD505-2E9C-101B-9397-08002B2CF9AE}" pid="8" name="_dlc_DocIdItemGuid">
    <vt:lpwstr>2361f949-1879-482e-ac76-8c9a17ba4104</vt:lpwstr>
  </property>
  <property fmtid="{D5CDD505-2E9C-101B-9397-08002B2CF9AE}" pid="9" name="MediaServiceImageTags">
    <vt:lpwstr/>
  </property>
  <property fmtid="{D5CDD505-2E9C-101B-9397-08002B2CF9AE}" pid="10" name="Document_Type">
    <vt:lpwstr/>
  </property>
  <property fmtid="{D5CDD505-2E9C-101B-9397-08002B2CF9AE}" pid="11" name="Document_Status">
    <vt:lpwstr/>
  </property>
  <property fmtid="{D5CDD505-2E9C-101B-9397-08002B2CF9AE}" pid="12" name="Contract_reference">
    <vt:lpwstr/>
  </property>
  <property fmtid="{D5CDD505-2E9C-101B-9397-08002B2CF9AE}" pid="13" name="Project_code">
    <vt:lpwstr/>
  </property>
  <property fmtid="{D5CDD505-2E9C-101B-9397-08002B2CF9AE}" pid="14" name="e2b781e9cad840cd89b90f5a7e989839">
    <vt:lpwstr/>
  </property>
  <property fmtid="{D5CDD505-2E9C-101B-9397-08002B2CF9AE}" pid="15" name="l9d65098618b4a8fbbe87718e7187e6b">
    <vt:lpwstr/>
  </property>
</Properties>
</file>