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9F3F" w14:textId="77777777" w:rsidR="00A82AF5" w:rsidRPr="00A82AF5" w:rsidRDefault="00A82AF5" w:rsidP="00A82AF5">
      <w:pPr>
        <w:pBdr>
          <w:top w:val="single" w:sz="4" w:space="1" w:color="auto"/>
          <w:left w:val="single" w:sz="4" w:space="4" w:color="auto"/>
          <w:bottom w:val="single" w:sz="4" w:space="1" w:color="auto"/>
          <w:right w:val="single" w:sz="4" w:space="4" w:color="auto"/>
        </w:pBdr>
        <w:spacing w:after="0" w:line="240" w:lineRule="auto"/>
        <w:rPr>
          <w:rFonts w:ascii="Georgia" w:eastAsia="Times New Roman" w:hAnsi="Georgia" w:cs="Times New Roman"/>
          <w:sz w:val="20"/>
          <w:szCs w:val="20"/>
          <w:lang w:eastAsia="en-GB"/>
        </w:rPr>
      </w:pPr>
      <w:r w:rsidRPr="00A82AF5">
        <w:rPr>
          <w:rFonts w:ascii="Georgia" w:eastAsia="Times New Roman" w:hAnsi="Georgia" w:cs="Times New Roman"/>
          <w:caps/>
          <w:sz w:val="20"/>
          <w:szCs w:val="24"/>
          <w:lang w:eastAsia="en-GB"/>
        </w:rPr>
        <w:t>Annexe VII: exclusion Grounds</w:t>
      </w:r>
    </w:p>
    <w:p w14:paraId="2D872CE6" w14:textId="77777777" w:rsidR="00A82AF5" w:rsidRPr="00A82AF5" w:rsidRDefault="00A82AF5" w:rsidP="00A82AF5">
      <w:pPr>
        <w:spacing w:after="0" w:line="240" w:lineRule="auto"/>
        <w:rPr>
          <w:rFonts w:ascii="Arial" w:eastAsia="Times New Roman" w:hAnsi="Arial" w:cs="Times New Roman"/>
          <w:sz w:val="20"/>
          <w:szCs w:val="24"/>
          <w:lang w:eastAsia="en-GB"/>
        </w:rPr>
      </w:pPr>
    </w:p>
    <w:p w14:paraId="35D23472" w14:textId="77777777" w:rsidR="00A82AF5" w:rsidRPr="00A82AF5" w:rsidRDefault="00A82AF5" w:rsidP="00A82AF5">
      <w:pPr>
        <w:spacing w:after="0" w:line="240" w:lineRule="auto"/>
        <w:rPr>
          <w:rFonts w:ascii="Arial" w:eastAsia="Times New Roman" w:hAnsi="Arial" w:cs="Times New Roman"/>
          <w:sz w:val="20"/>
          <w:szCs w:val="24"/>
          <w:lang w:eastAsia="en-GB"/>
        </w:rPr>
      </w:pPr>
    </w:p>
    <w:tbl>
      <w:tblPr>
        <w:tblStyle w:val="TableGrid1"/>
        <w:tblW w:w="0" w:type="auto"/>
        <w:tblLayout w:type="fixed"/>
        <w:tblLook w:val="04A0" w:firstRow="1" w:lastRow="0" w:firstColumn="1" w:lastColumn="0" w:noHBand="0" w:noVBand="1"/>
      </w:tblPr>
      <w:tblGrid>
        <w:gridCol w:w="1526"/>
        <w:gridCol w:w="7194"/>
      </w:tblGrid>
      <w:tr w:rsidR="00A82AF5" w:rsidRPr="00A82AF5" w14:paraId="6BBA530D" w14:textId="77777777" w:rsidTr="00C006C9">
        <w:trPr>
          <w:trHeight w:val="475"/>
        </w:trPr>
        <w:tc>
          <w:tcPr>
            <w:tcW w:w="8720" w:type="dxa"/>
            <w:gridSpan w:val="2"/>
            <w:hideMark/>
          </w:tcPr>
          <w:p w14:paraId="5C32B86D"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Exclusion grounds</w:t>
            </w:r>
          </w:p>
          <w:p w14:paraId="20DA2496"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 </w:t>
            </w:r>
          </w:p>
        </w:tc>
      </w:tr>
      <w:tr w:rsidR="00A82AF5" w:rsidRPr="00A82AF5" w14:paraId="2088A0D2" w14:textId="77777777" w:rsidTr="00C006C9">
        <w:trPr>
          <w:trHeight w:val="2835"/>
        </w:trPr>
        <w:tc>
          <w:tcPr>
            <w:tcW w:w="1526" w:type="dxa"/>
            <w:hideMark/>
          </w:tcPr>
          <w:p w14:paraId="6610FB47"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1)  Condemnation or subject of a conviction by final judgment</w:t>
            </w:r>
          </w:p>
        </w:tc>
        <w:tc>
          <w:tcPr>
            <w:tcW w:w="7194" w:type="dxa"/>
            <w:hideMark/>
          </w:tcPr>
          <w:p w14:paraId="3484BFD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or one of its ‘directors[1]’ was found guilty following an indefeasible judgement for one of the following offences:</w:t>
            </w:r>
          </w:p>
          <w:p w14:paraId="63BF736A"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1° involvement in a criminal organisation</w:t>
            </w:r>
          </w:p>
          <w:p w14:paraId="42BB9614"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2° corruption</w:t>
            </w:r>
          </w:p>
          <w:p w14:paraId="31795EA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3° fraud</w:t>
            </w:r>
          </w:p>
          <w:p w14:paraId="1831CB6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4° terrorist offences, offences linked related to terrorist activities or incitement to commit such offence, collusion or attempt to commit such an offence</w:t>
            </w:r>
          </w:p>
          <w:p w14:paraId="4955A708"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5° money laundering or terrorist financing</w:t>
            </w:r>
          </w:p>
          <w:p w14:paraId="75F5AB9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6° child labour and other trafficking in human beings</w:t>
            </w:r>
          </w:p>
          <w:p w14:paraId="6CC54102"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7° employment of foreign citizens under illegal status</w:t>
            </w:r>
          </w:p>
          <w:p w14:paraId="665BD28D"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8° creating or being a shell company.</w:t>
            </w:r>
          </w:p>
          <w:p w14:paraId="6BA9498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w:t>
            </w:r>
          </w:p>
          <w:p w14:paraId="5877C0B9"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exclusions on the basis of this criterion apply for a 5-year term from the date of judgement.</w:t>
            </w:r>
          </w:p>
          <w:p w14:paraId="05296808" w14:textId="77777777" w:rsidR="00A82AF5" w:rsidRPr="00A82AF5" w:rsidRDefault="00A82AF5" w:rsidP="00A82AF5">
            <w:pPr>
              <w:rPr>
                <w:rFonts w:ascii="Arial" w:eastAsia="Calibri" w:hAnsi="Arial" w:cs="Arial"/>
                <w:sz w:val="16"/>
                <w:szCs w:val="16"/>
                <w:lang w:eastAsia="en-GB"/>
              </w:rPr>
            </w:pPr>
          </w:p>
        </w:tc>
      </w:tr>
      <w:tr w:rsidR="00A82AF5" w:rsidRPr="00A82AF5" w14:paraId="3EE67ED0" w14:textId="77777777" w:rsidTr="00C006C9">
        <w:trPr>
          <w:trHeight w:val="1350"/>
        </w:trPr>
        <w:tc>
          <w:tcPr>
            <w:tcW w:w="1526" w:type="dxa"/>
            <w:hideMark/>
          </w:tcPr>
          <w:p w14:paraId="348E6EAF"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2)     Breach of obligations relating to the payment of taxes or social security contributions</w:t>
            </w:r>
          </w:p>
        </w:tc>
        <w:tc>
          <w:tcPr>
            <w:tcW w:w="7194" w:type="dxa"/>
            <w:hideMark/>
          </w:tcPr>
          <w:p w14:paraId="5738F39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A82AF5" w:rsidRPr="00A82AF5" w14:paraId="1219D3DD" w14:textId="77777777" w:rsidTr="00C006C9">
        <w:trPr>
          <w:trHeight w:val="1395"/>
        </w:trPr>
        <w:tc>
          <w:tcPr>
            <w:tcW w:w="1526" w:type="dxa"/>
            <w:hideMark/>
          </w:tcPr>
          <w:p w14:paraId="2B9BD4EB"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3) Bankruptcy, liquidation, cessation of activities…</w:t>
            </w:r>
          </w:p>
        </w:tc>
        <w:tc>
          <w:tcPr>
            <w:tcW w:w="7194" w:type="dxa"/>
            <w:hideMark/>
          </w:tcPr>
          <w:p w14:paraId="14440FA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A82AF5" w:rsidRPr="00A82AF5" w14:paraId="202732EF" w14:textId="77777777" w:rsidTr="00C006C9">
        <w:trPr>
          <w:trHeight w:val="540"/>
        </w:trPr>
        <w:tc>
          <w:tcPr>
            <w:tcW w:w="1526" w:type="dxa"/>
            <w:hideMark/>
          </w:tcPr>
          <w:p w14:paraId="03E1765E"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 xml:space="preserve">4)   Integrity-related professional misconduct, including: </w:t>
            </w:r>
          </w:p>
          <w:p w14:paraId="7B86A6A6" w14:textId="77777777" w:rsidR="00A82AF5" w:rsidRPr="00A82AF5" w:rsidRDefault="00A82AF5" w:rsidP="00A82AF5">
            <w:pPr>
              <w:rPr>
                <w:rFonts w:ascii="Arial" w:eastAsia="Calibri" w:hAnsi="Arial" w:cs="Arial"/>
                <w:sz w:val="16"/>
                <w:szCs w:val="16"/>
                <w:lang w:eastAsia="en-GB"/>
              </w:rPr>
            </w:pPr>
          </w:p>
          <w:p w14:paraId="77B4187A"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Sexual abuse and/or exploitation </w:t>
            </w:r>
          </w:p>
          <w:p w14:paraId="531BE8FF"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Case of fraud </w:t>
            </w:r>
          </w:p>
          <w:p w14:paraId="70C64F08"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Case of sexual harassment </w:t>
            </w:r>
          </w:p>
          <w:p w14:paraId="02D2E24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False statements</w:t>
            </w:r>
          </w:p>
          <w:p w14:paraId="6F3FF870"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sz w:val="16"/>
                <w:szCs w:val="16"/>
                <w:lang w:eastAsia="en-GB"/>
              </w:rPr>
              <w:t>- Unfair competition</w:t>
            </w:r>
          </w:p>
        </w:tc>
        <w:tc>
          <w:tcPr>
            <w:tcW w:w="7194" w:type="dxa"/>
            <w:hideMark/>
          </w:tcPr>
          <w:p w14:paraId="042ACC7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When Enabel can demonstrate by any appropriate means that the counterparty </w:t>
            </w:r>
            <w:r w:rsidRPr="00A82AF5">
              <w:rPr>
                <w:rFonts w:ascii="Arial" w:eastAsia="Calibri" w:hAnsi="Arial" w:cs="Arial"/>
                <w:b/>
                <w:bCs/>
                <w:sz w:val="16"/>
                <w:szCs w:val="16"/>
                <w:lang w:eastAsia="en-GB"/>
              </w:rPr>
              <w:t>or any of its directors</w:t>
            </w:r>
            <w:r w:rsidRPr="00A82AF5">
              <w:rPr>
                <w:rFonts w:ascii="Arial" w:eastAsia="Calibri" w:hAnsi="Arial" w:cs="Arial"/>
                <w:sz w:val="16"/>
                <w:szCs w:val="16"/>
                <w:lang w:eastAsia="en-GB"/>
              </w:rPr>
              <w:t xml:space="preserve"> has committed serious professional misconduct which calls into question his integrity.</w:t>
            </w:r>
          </w:p>
          <w:p w14:paraId="78F1B6E1" w14:textId="77777777" w:rsidR="00A82AF5" w:rsidRPr="00A82AF5" w:rsidRDefault="00A82AF5" w:rsidP="00A82AF5">
            <w:pPr>
              <w:rPr>
                <w:rFonts w:ascii="Arial" w:eastAsia="Calibri" w:hAnsi="Arial" w:cs="Arial"/>
                <w:sz w:val="16"/>
                <w:szCs w:val="16"/>
                <w:lang w:eastAsia="en-GB"/>
              </w:rPr>
            </w:pPr>
          </w:p>
          <w:p w14:paraId="6C01DFE7"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Are among others considered such serious professional misconduct:</w:t>
            </w:r>
          </w:p>
          <w:p w14:paraId="1EF79F06"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A breach of Enabel’s Policy regarding sexual exploitation and abuse – June 2019</w:t>
            </w:r>
          </w:p>
          <w:p w14:paraId="1C9C77A2"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A breach of Enabel’s Policy regarding fraud and corruption risk management – June 2019</w:t>
            </w:r>
          </w:p>
          <w:p w14:paraId="39A63C26"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A breach of a regulatory provision in applicable local legislation regarding sexual harassment in the workplace</w:t>
            </w:r>
          </w:p>
          <w:p w14:paraId="395E3D6B"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6F6713E0"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Where Enabel has sufficient plausible evidence to conclude that the counterparty has committed acts, entered into agreements or entered into arrangements to distort competition</w:t>
            </w:r>
          </w:p>
          <w:p w14:paraId="607268B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presence of this counterparty on one of Enabel’s exclusion lists as a result of such an act/agreement/arrangement is considered to be sufficiently plausible an element. </w:t>
            </w:r>
          </w:p>
        </w:tc>
      </w:tr>
      <w:tr w:rsidR="00A82AF5" w:rsidRPr="00A82AF5" w14:paraId="2EE64181" w14:textId="77777777" w:rsidTr="00C006C9">
        <w:trPr>
          <w:trHeight w:val="900"/>
        </w:trPr>
        <w:tc>
          <w:tcPr>
            <w:tcW w:w="1526" w:type="dxa"/>
            <w:hideMark/>
          </w:tcPr>
          <w:p w14:paraId="1AD9AC21"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5)     Conflict of interest</w:t>
            </w:r>
          </w:p>
        </w:tc>
        <w:tc>
          <w:tcPr>
            <w:tcW w:w="7194" w:type="dxa"/>
            <w:hideMark/>
          </w:tcPr>
          <w:p w14:paraId="2BAD3566"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When a conflict of interest cannot be remedied by other, less intrusive measures; </w:t>
            </w:r>
          </w:p>
        </w:tc>
      </w:tr>
      <w:tr w:rsidR="00A82AF5" w:rsidRPr="00A82AF5" w14:paraId="66A34A00" w14:textId="77777777" w:rsidTr="00C006C9">
        <w:trPr>
          <w:trHeight w:val="1080"/>
        </w:trPr>
        <w:tc>
          <w:tcPr>
            <w:tcW w:w="1526" w:type="dxa"/>
            <w:vMerge w:val="restart"/>
            <w:hideMark/>
          </w:tcPr>
          <w:p w14:paraId="526BB539"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6)   Significant or persistent contract performance failures</w:t>
            </w:r>
          </w:p>
        </w:tc>
        <w:tc>
          <w:tcPr>
            <w:tcW w:w="7194" w:type="dxa"/>
            <w:hideMark/>
          </w:tcPr>
          <w:p w14:paraId="091430DD"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A82AF5" w:rsidRPr="00A82AF5" w14:paraId="254152B7" w14:textId="77777777" w:rsidTr="00C006C9">
        <w:trPr>
          <w:trHeight w:val="1080"/>
        </w:trPr>
        <w:tc>
          <w:tcPr>
            <w:tcW w:w="1526" w:type="dxa"/>
            <w:vMerge/>
            <w:hideMark/>
          </w:tcPr>
          <w:p w14:paraId="215AD94A" w14:textId="77777777" w:rsidR="00A82AF5" w:rsidRPr="00A82AF5" w:rsidRDefault="00A82AF5" w:rsidP="00A82AF5">
            <w:pPr>
              <w:rPr>
                <w:rFonts w:ascii="Arial" w:eastAsia="Calibri" w:hAnsi="Arial" w:cs="Arial"/>
                <w:b/>
                <w:bCs/>
                <w:sz w:val="16"/>
                <w:szCs w:val="16"/>
                <w:lang w:eastAsia="en-GB"/>
              </w:rPr>
            </w:pPr>
          </w:p>
        </w:tc>
        <w:tc>
          <w:tcPr>
            <w:tcW w:w="7194" w:type="dxa"/>
            <w:hideMark/>
          </w:tcPr>
          <w:p w14:paraId="354EA5F4"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Also failures to respect applicable obligations regarding environmental, social and labour rights, national law, labour agreements or international provisions on environmental, social and labour rights are considered ‘significant’. </w:t>
            </w:r>
          </w:p>
        </w:tc>
      </w:tr>
      <w:tr w:rsidR="00A82AF5" w:rsidRPr="00A82AF5" w14:paraId="486C7547" w14:textId="77777777" w:rsidTr="00C006C9">
        <w:trPr>
          <w:trHeight w:val="540"/>
        </w:trPr>
        <w:tc>
          <w:tcPr>
            <w:tcW w:w="1526" w:type="dxa"/>
            <w:vMerge/>
            <w:hideMark/>
          </w:tcPr>
          <w:p w14:paraId="560EFE7C" w14:textId="77777777" w:rsidR="00A82AF5" w:rsidRPr="00A82AF5" w:rsidRDefault="00A82AF5" w:rsidP="00A82AF5">
            <w:pPr>
              <w:rPr>
                <w:rFonts w:ascii="Arial" w:eastAsia="Calibri" w:hAnsi="Arial" w:cs="Arial"/>
                <w:b/>
                <w:bCs/>
                <w:sz w:val="16"/>
                <w:szCs w:val="16"/>
                <w:lang w:eastAsia="en-GB"/>
              </w:rPr>
            </w:pPr>
          </w:p>
        </w:tc>
        <w:tc>
          <w:tcPr>
            <w:tcW w:w="7194" w:type="dxa"/>
            <w:hideMark/>
          </w:tcPr>
          <w:p w14:paraId="1845CA3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The presence of the counterparty on the exclusion list of Enabel because of such a failure serves as evidence. </w:t>
            </w:r>
          </w:p>
        </w:tc>
      </w:tr>
      <w:tr w:rsidR="00A82AF5" w:rsidRPr="00A82AF5" w14:paraId="5523B007" w14:textId="77777777" w:rsidTr="00C006C9">
        <w:trPr>
          <w:trHeight w:val="1080"/>
        </w:trPr>
        <w:tc>
          <w:tcPr>
            <w:tcW w:w="1526" w:type="dxa"/>
            <w:hideMark/>
          </w:tcPr>
          <w:p w14:paraId="03DC0CF3"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7) Financial sanctions</w:t>
            </w:r>
          </w:p>
        </w:tc>
        <w:tc>
          <w:tcPr>
            <w:tcW w:w="7194" w:type="dxa"/>
            <w:hideMark/>
          </w:tcPr>
          <w:p w14:paraId="2BE965D3"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33F41530" w14:textId="77777777" w:rsidR="00A82AF5" w:rsidRPr="00A82AF5" w:rsidRDefault="00A82AF5" w:rsidP="00A82AF5">
            <w:pPr>
              <w:rPr>
                <w:rFonts w:ascii="Arial" w:eastAsia="Calibri" w:hAnsi="Arial" w:cs="Arial"/>
                <w:sz w:val="16"/>
                <w:szCs w:val="16"/>
                <w:lang w:eastAsia="en-GB"/>
              </w:rPr>
            </w:pPr>
          </w:p>
          <w:p w14:paraId="35DD9B7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or one of its directors are on the lists of persons, groups or entities submitted by the United Nations, the European Union and Belgium for financial sanctions:</w:t>
            </w:r>
          </w:p>
          <w:p w14:paraId="11A30E70"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For the United Nations, the lists can be consulted at the following address:</w:t>
            </w:r>
          </w:p>
          <w:p w14:paraId="376D941D" w14:textId="77777777" w:rsidR="00A82AF5" w:rsidRPr="00A82AF5" w:rsidRDefault="00C308EC" w:rsidP="00A82AF5">
            <w:pPr>
              <w:rPr>
                <w:rFonts w:ascii="Arial" w:eastAsia="Calibri" w:hAnsi="Arial" w:cs="Arial"/>
                <w:color w:val="0000FF"/>
                <w:sz w:val="16"/>
                <w:szCs w:val="16"/>
                <w:u w:val="single"/>
                <w:lang w:eastAsia="en-GB"/>
              </w:rPr>
            </w:pPr>
            <w:hyperlink r:id="rId8" w:history="1">
              <w:r w:rsidR="00A82AF5" w:rsidRPr="00A82AF5">
                <w:rPr>
                  <w:rFonts w:ascii="Arial" w:eastAsia="Calibri" w:hAnsi="Arial" w:cs="Arial"/>
                  <w:color w:val="0000FF"/>
                  <w:sz w:val="16"/>
                  <w:szCs w:val="16"/>
                  <w:u w:val="single"/>
                  <w:lang w:eastAsia="en-GB"/>
                </w:rPr>
                <w:t xml:space="preserve">https://finances.belgium.be/fr/tresorerie/sanctions-financieres/sanctions-internationales-nations-unies </w:t>
              </w:r>
            </w:hyperlink>
          </w:p>
          <w:p w14:paraId="01D7E392" w14:textId="77777777" w:rsidR="00A82AF5" w:rsidRPr="00A82AF5" w:rsidRDefault="00A82AF5" w:rsidP="00A82AF5">
            <w:pPr>
              <w:rPr>
                <w:rFonts w:ascii="Arial" w:eastAsia="Calibri" w:hAnsi="Arial" w:cs="Arial"/>
                <w:sz w:val="16"/>
                <w:szCs w:val="16"/>
                <w:lang w:eastAsia="en-GB"/>
              </w:rPr>
            </w:pPr>
          </w:p>
          <w:p w14:paraId="52421302" w14:textId="77777777" w:rsidR="00A82AF5" w:rsidRPr="00A82AF5" w:rsidRDefault="00A82AF5" w:rsidP="00A82AF5">
            <w:pPr>
              <w:rPr>
                <w:rFonts w:ascii="Arial" w:eastAsia="Calibri" w:hAnsi="Arial" w:cs="Arial"/>
                <w:color w:val="0000FF"/>
                <w:sz w:val="16"/>
                <w:szCs w:val="16"/>
                <w:u w:val="single"/>
                <w:lang w:eastAsia="en-GB"/>
              </w:rPr>
            </w:pPr>
            <w:r w:rsidRPr="00A82AF5">
              <w:rPr>
                <w:rFonts w:ascii="Arial" w:eastAsia="Calibri" w:hAnsi="Arial" w:cs="Arial"/>
                <w:sz w:val="16"/>
                <w:szCs w:val="16"/>
                <w:lang w:eastAsia="en-GB"/>
              </w:rPr>
              <w:t>For the European Union, the lists can be consulted at the following address:</w:t>
            </w:r>
          </w:p>
          <w:p w14:paraId="4BE00BB2" w14:textId="77777777" w:rsidR="00A82AF5" w:rsidRPr="00A82AF5" w:rsidRDefault="00C308EC" w:rsidP="00A82AF5">
            <w:pPr>
              <w:spacing w:line="276" w:lineRule="auto"/>
              <w:rPr>
                <w:rFonts w:ascii="Calibri" w:eastAsia="Calibri" w:hAnsi="Calibri" w:cs="Arial"/>
                <w:color w:val="0000FF"/>
                <w:sz w:val="16"/>
                <w:szCs w:val="16"/>
                <w:u w:val="single"/>
              </w:rPr>
            </w:pPr>
            <w:hyperlink r:id="rId9" w:history="1">
              <w:r w:rsidR="00A82AF5" w:rsidRPr="00A82AF5">
                <w:rPr>
                  <w:rFonts w:ascii="Calibri" w:eastAsia="Calibri" w:hAnsi="Calibri" w:cs="Arial"/>
                  <w:color w:val="0000FF"/>
                  <w:sz w:val="16"/>
                  <w:szCs w:val="16"/>
                  <w:u w:val="single"/>
                </w:rPr>
                <w:t xml:space="preserve">https://finances.belgium.be/fr/tresorerie/sanctions-financieres/sanctions-europ%C3%A9ennes-ue </w:t>
              </w:r>
            </w:hyperlink>
          </w:p>
          <w:p w14:paraId="6D2D7F95" w14:textId="77777777" w:rsidR="00A82AF5" w:rsidRPr="00A82AF5" w:rsidRDefault="00A82AF5" w:rsidP="00A82AF5">
            <w:pPr>
              <w:rPr>
                <w:rFonts w:ascii="Arial" w:eastAsia="Calibri" w:hAnsi="Arial" w:cs="Arial"/>
                <w:color w:val="0000FF"/>
                <w:sz w:val="16"/>
                <w:szCs w:val="16"/>
                <w:u w:val="single"/>
                <w:lang w:eastAsia="en-GB"/>
              </w:rPr>
            </w:pPr>
          </w:p>
          <w:p w14:paraId="058461C1" w14:textId="77777777" w:rsidR="00A82AF5" w:rsidRPr="00A82AF5" w:rsidRDefault="00C308EC" w:rsidP="00A82AF5">
            <w:pPr>
              <w:rPr>
                <w:rFonts w:ascii="Arial" w:eastAsia="Calibri" w:hAnsi="Arial" w:cs="Arial"/>
                <w:color w:val="0000FF"/>
                <w:sz w:val="16"/>
                <w:szCs w:val="16"/>
                <w:u w:val="single"/>
                <w:lang w:eastAsia="en-GB"/>
              </w:rPr>
            </w:pPr>
            <w:hyperlink r:id="rId10" w:history="1">
              <w:r w:rsidR="00A82AF5" w:rsidRPr="00A82AF5">
                <w:rPr>
                  <w:rFonts w:ascii="Arial" w:eastAsia="Calibri" w:hAnsi="Arial" w:cs="Arial"/>
                  <w:color w:val="0000FF"/>
                  <w:sz w:val="16"/>
                  <w:szCs w:val="16"/>
                  <w:u w:val="single"/>
                  <w:lang w:eastAsia="en-GB"/>
                </w:rPr>
                <w:t>https://eeas.europa.eu/headquarters/headquarters-homepage/8442/consolidated-list-sanctions_en</w:t>
              </w:r>
            </w:hyperlink>
          </w:p>
          <w:p w14:paraId="42A6EEDF" w14:textId="77777777" w:rsidR="00A82AF5" w:rsidRPr="00A82AF5" w:rsidRDefault="00A82AF5" w:rsidP="00A82AF5">
            <w:pPr>
              <w:rPr>
                <w:rFonts w:ascii="Arial" w:eastAsia="Calibri" w:hAnsi="Arial" w:cs="Arial"/>
                <w:color w:val="0000FF"/>
                <w:sz w:val="16"/>
                <w:szCs w:val="16"/>
                <w:u w:val="single"/>
                <w:lang w:eastAsia="en-GB"/>
              </w:rPr>
            </w:pPr>
          </w:p>
          <w:p w14:paraId="1926BEF9" w14:textId="77777777" w:rsidR="00A82AF5" w:rsidRPr="00A82AF5" w:rsidRDefault="00C308EC" w:rsidP="00A82AF5">
            <w:pPr>
              <w:rPr>
                <w:rFonts w:ascii="Arial" w:eastAsia="Calibri" w:hAnsi="Arial" w:cs="Arial"/>
                <w:color w:val="0000FF"/>
                <w:sz w:val="16"/>
                <w:szCs w:val="16"/>
                <w:u w:val="single"/>
                <w:lang w:eastAsia="en-GB"/>
              </w:rPr>
            </w:pPr>
            <w:hyperlink r:id="rId11" w:history="1">
              <w:r w:rsidR="00A82AF5" w:rsidRPr="00A82AF5">
                <w:rPr>
                  <w:rFonts w:ascii="Arial" w:eastAsia="Calibri" w:hAnsi="Arial" w:cs="Arial"/>
                  <w:color w:val="0000FF"/>
                  <w:sz w:val="16"/>
                  <w:szCs w:val="16"/>
                  <w:u w:val="single"/>
                  <w:lang w:eastAsia="en-GB"/>
                </w:rPr>
                <w:t xml:space="preserve">https://eeas.europa.eu/sites/eeas/files/restrictive_measures-2017-01-17-clean.pdf </w:t>
              </w:r>
            </w:hyperlink>
          </w:p>
          <w:p w14:paraId="7E7927C0" w14:textId="77777777" w:rsidR="00A82AF5" w:rsidRPr="00A82AF5" w:rsidRDefault="00A82AF5" w:rsidP="00A82AF5">
            <w:pPr>
              <w:rPr>
                <w:rFonts w:ascii="Arial" w:eastAsia="Calibri" w:hAnsi="Arial" w:cs="Arial"/>
                <w:sz w:val="16"/>
                <w:szCs w:val="16"/>
                <w:lang w:eastAsia="en-GB"/>
              </w:rPr>
            </w:pPr>
          </w:p>
          <w:p w14:paraId="08F6F407" w14:textId="77777777" w:rsidR="00A82AF5" w:rsidRPr="00A82AF5" w:rsidRDefault="00A82AF5" w:rsidP="00A82AF5">
            <w:pPr>
              <w:rPr>
                <w:rFonts w:ascii="Arial" w:eastAsia="Calibri" w:hAnsi="Arial" w:cs="Arial"/>
                <w:sz w:val="16"/>
                <w:szCs w:val="16"/>
                <w:lang w:val="en-US" w:eastAsia="en-GB"/>
              </w:rPr>
            </w:pPr>
            <w:r w:rsidRPr="00A82AF5">
              <w:rPr>
                <w:rFonts w:ascii="Arial" w:eastAsia="Calibri" w:hAnsi="Arial" w:cs="Arial"/>
                <w:sz w:val="16"/>
                <w:szCs w:val="16"/>
                <w:lang w:val="en-US" w:eastAsia="en-GB"/>
              </w:rPr>
              <w:t>For Belgium:</w:t>
            </w:r>
          </w:p>
          <w:p w14:paraId="04FC6D04" w14:textId="77777777" w:rsidR="00A82AF5" w:rsidRPr="00A82AF5" w:rsidRDefault="00A82AF5" w:rsidP="00A82AF5">
            <w:pPr>
              <w:rPr>
                <w:rFonts w:ascii="Arial" w:eastAsia="Calibri" w:hAnsi="Arial" w:cs="Arial"/>
                <w:sz w:val="16"/>
                <w:szCs w:val="16"/>
                <w:lang w:val="en-US" w:eastAsia="en-GB"/>
              </w:rPr>
            </w:pPr>
          </w:p>
          <w:p w14:paraId="62EED5F8" w14:textId="77777777" w:rsidR="00A82AF5" w:rsidRPr="00A82AF5" w:rsidRDefault="00C308EC" w:rsidP="00A82AF5">
            <w:pPr>
              <w:rPr>
                <w:rFonts w:ascii="Arial" w:eastAsia="Calibri" w:hAnsi="Arial" w:cs="Arial"/>
                <w:color w:val="0000FF"/>
                <w:sz w:val="16"/>
                <w:szCs w:val="16"/>
                <w:u w:val="single"/>
                <w:lang w:val="en-US" w:eastAsia="en-GB"/>
              </w:rPr>
            </w:pPr>
            <w:hyperlink r:id="rId12" w:history="1">
              <w:r w:rsidR="00A82AF5" w:rsidRPr="00A82AF5">
                <w:rPr>
                  <w:rFonts w:ascii="Arial" w:eastAsia="Calibri" w:hAnsi="Arial" w:cs="Arial"/>
                  <w:color w:val="0000FF"/>
                  <w:sz w:val="16"/>
                  <w:szCs w:val="16"/>
                  <w:u w:val="single"/>
                  <w:lang w:val="en-US" w:eastAsia="en-GB"/>
                </w:rPr>
                <w:t xml:space="preserve">https://finances.belgium.be/fr/sur_le_spf/structure_et_services/administrations_generales/tr%C3%A9sorerie/contr%C3%B4le-des-instruments-1-2 </w:t>
              </w:r>
            </w:hyperlink>
          </w:p>
          <w:p w14:paraId="7F9368AD" w14:textId="77777777" w:rsidR="00A82AF5" w:rsidRPr="00A82AF5" w:rsidRDefault="00A82AF5" w:rsidP="00A82AF5">
            <w:pPr>
              <w:rPr>
                <w:rFonts w:ascii="Arial" w:eastAsia="Calibri" w:hAnsi="Arial" w:cs="Arial"/>
                <w:color w:val="0000FF"/>
                <w:sz w:val="16"/>
                <w:szCs w:val="16"/>
                <w:lang w:val="en-US" w:eastAsia="en-GB"/>
              </w:rPr>
            </w:pPr>
          </w:p>
        </w:tc>
      </w:tr>
    </w:tbl>
    <w:p w14:paraId="5524EE0F" w14:textId="77777777" w:rsidR="00A82AF5" w:rsidRPr="00A82AF5" w:rsidRDefault="00A82AF5" w:rsidP="00A82AF5">
      <w:pPr>
        <w:spacing w:after="0" w:line="240" w:lineRule="auto"/>
        <w:rPr>
          <w:rFonts w:ascii="Arial" w:eastAsia="Times New Roman" w:hAnsi="Arial" w:cs="Times New Roman"/>
          <w:sz w:val="20"/>
          <w:szCs w:val="24"/>
          <w:lang w:val="en-US" w:eastAsia="en-GB"/>
        </w:rPr>
      </w:pPr>
    </w:p>
    <w:p w14:paraId="04CD9669" w14:textId="53766C21" w:rsidR="00A82AF5" w:rsidRPr="00A82AF5" w:rsidRDefault="00A82AF5" w:rsidP="008F699B">
      <w:pPr>
        <w:spacing w:after="0" w:line="240" w:lineRule="auto"/>
        <w:rPr>
          <w:rFonts w:ascii="Arial" w:eastAsia="Times New Roman" w:hAnsi="Arial" w:cs="Times New Roman"/>
          <w:sz w:val="20"/>
          <w:szCs w:val="24"/>
          <w:lang w:eastAsia="en-GB"/>
        </w:rPr>
      </w:pPr>
    </w:p>
    <w:sectPr w:rsidR="00A82AF5" w:rsidRPr="00A8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6346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F5"/>
    <w:rsid w:val="00000B9C"/>
    <w:rsid w:val="00387DD7"/>
    <w:rsid w:val="00436E68"/>
    <w:rsid w:val="004E3958"/>
    <w:rsid w:val="008F699B"/>
    <w:rsid w:val="00A82AF5"/>
    <w:rsid w:val="00C30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B10"/>
  <w15:chartTrackingRefBased/>
  <w15:docId w15:val="{3BAF7898-301F-4A18-B14C-337695E1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82A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ances.belgium.be/fr/sur_le_spf/structure_et_services/administrations_generales/tr&#233;sorerie/contr&#244;le-des-instruments-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as.europa.eu/sites/eeas/files/restrictive_measures-2017-01-17-clean.pdf" TargetMode="External"/><Relationship Id="rId5" Type="http://schemas.openxmlformats.org/officeDocument/2006/relationships/styles" Target="styles.xml"/><Relationship Id="rId10" Type="http://schemas.openxmlformats.org/officeDocument/2006/relationships/hyperlink" Target="https://eeas.europa.eu/headquarters/headquarters-homepage/8442/consolidated-list-sanctions_en" TargetMode="External"/><Relationship Id="rId4" Type="http://schemas.openxmlformats.org/officeDocument/2006/relationships/numbering" Target="numbering.xml"/><Relationship Id="rId9" Type="http://schemas.openxmlformats.org/officeDocument/2006/relationships/hyperlink" Target="https://finances.belgium.be/fr/tresorerie/sanctions-financieres/sanctions-europ&#233;ennes-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1b9748-1c23-4dd3-984e-f764454cbe47">
      <UserInfo>
        <DisplayName/>
        <AccountId xsi:nil="true"/>
        <AccountType/>
      </UserInfo>
    </SharedWithUsers>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B08DB-A780-46BA-A403-D0D7B4BEECB6}">
  <ds:schemaRefs>
    <ds:schemaRef ds:uri="http://schemas.microsoft.com/office/2006/metadata/properties"/>
    <ds:schemaRef ds:uri="http://schemas.microsoft.com/office/infopath/2007/PartnerControls"/>
    <ds:schemaRef ds:uri="522023f6-713b-470d-9943-953a179bdfad"/>
    <ds:schemaRef ds:uri="2a1036a5-326a-4566-90cd-56221320f0e9"/>
    <ds:schemaRef ds:uri="331b9748-1c23-4dd3-984e-f764454cbe47"/>
    <ds:schemaRef ds:uri="747801d1-e2bb-4b41-8df5-931e2e254794"/>
  </ds:schemaRefs>
</ds:datastoreItem>
</file>

<file path=customXml/itemProps2.xml><?xml version="1.0" encoding="utf-8"?>
<ds:datastoreItem xmlns:ds="http://schemas.openxmlformats.org/officeDocument/2006/customXml" ds:itemID="{65E9DD8D-1725-478A-A0AA-A20C190D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AC096-F3B1-4A82-AF66-4EE7843F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Maram</dc:creator>
  <cp:keywords/>
  <dc:description/>
  <cp:lastModifiedBy>MOUSA-ALKHAWAJAH, Fidah</cp:lastModifiedBy>
  <cp:revision>2</cp:revision>
  <dcterms:created xsi:type="dcterms:W3CDTF">2022-10-06T09:48:00Z</dcterms:created>
  <dcterms:modified xsi:type="dcterms:W3CDTF">2022-10-06T09:48:00Z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Order">
    <vt:r8>850500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Document_Language">
    <vt:lpwstr/>
  </property>
  <property fmtid="{D5CDD505-2E9C-101B-9397-08002B2CF9AE}" pid="8" name="Document_Type">
    <vt:lpwstr/>
  </property>
  <property fmtid="{D5CDD505-2E9C-101B-9397-08002B2CF9AE}" pid="9" name="Country">
    <vt:lpwstr>1;#NER|9ea7551c-3779-4ad9-9661-273f91da302a</vt:lpwstr>
  </property>
  <property fmtid="{D5CDD505-2E9C-101B-9397-08002B2CF9AE}" pid="10" name="_dlc_DocIdItemGuid">
    <vt:lpwstr>1587edd5-ac9f-4399-96bf-e715ae7e6334</vt:lpwstr>
  </property>
  <property fmtid="{D5CDD505-2E9C-101B-9397-08002B2CF9AE}" pid="11" name="_ExtendedDescription">
    <vt:lpwstr/>
  </property>
  <property fmtid="{D5CDD505-2E9C-101B-9397-08002B2CF9AE}" pid="12" name="Document_Status">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