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50E24-CDB1-44CA-A60A-F20990102645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26;#08. PARTNERSHIPS ＆ CONTRACTS|8fa012b9-d987-44e3-bfb9-a564dd1f9647</vt:lpwstr>
  </property>
</Properties>
</file>