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D112" w14:textId="7A44FC5C" w:rsidR="00A52428" w:rsidRPr="00DD3AE8" w:rsidRDefault="00A52428" w:rsidP="00A52428">
      <w:pPr>
        <w:pStyle w:val="Heading1"/>
        <w:spacing w:line="240" w:lineRule="auto"/>
      </w:pPr>
      <w:bookmarkStart w:id="0" w:name="_Toc84594224"/>
      <w:bookmarkStart w:id="1" w:name="_Toc24558813"/>
      <w:r w:rsidRPr="00DD3AE8">
        <w:t xml:space="preserve">Logical </w:t>
      </w:r>
      <w:r>
        <w:t>framework</w:t>
      </w:r>
      <w:bookmarkEnd w:id="0"/>
      <w:r w:rsidRPr="00DD3AE8">
        <w:t xml:space="preserve"> </w:t>
      </w:r>
      <w:bookmarkEnd w:id="1"/>
    </w:p>
    <w:p w14:paraId="38D06FF0" w14:textId="621866FF" w:rsidR="00A52428" w:rsidRPr="00C23F1F" w:rsidRDefault="00A52428" w:rsidP="00A52428">
      <w:pPr>
        <w:pStyle w:val="CTBCorpsdetexte"/>
        <w:spacing w:line="240" w:lineRule="auto"/>
        <w:jc w:val="both"/>
        <w:rPr>
          <w:rFonts w:asciiTheme="minorHAnsi" w:hAnsiTheme="minorHAnsi" w:cstheme="minorHAnsi"/>
          <w:b/>
          <w:color w:val="FF0000"/>
        </w:rPr>
      </w:pPr>
      <w:r w:rsidRPr="00A52D54">
        <w:rPr>
          <w:rFonts w:asciiTheme="minorHAnsi" w:hAnsiTheme="minorHAnsi" w:cstheme="minorHAnsi"/>
          <w:color w:val="404040" w:themeColor="text1" w:themeTint="BF"/>
        </w:rPr>
        <w:t>Data will be disaggregated by gender, vulnerability and geographical location</w:t>
      </w:r>
      <w:r w:rsidR="00961FB3">
        <w:rPr>
          <w:rFonts w:asciiTheme="minorHAnsi" w:hAnsiTheme="minorHAnsi" w:cstheme="minorHAnsi"/>
          <w:color w:val="404040" w:themeColor="text1" w:themeTint="BF"/>
        </w:rPr>
        <w:t>,</w:t>
      </w:r>
      <w:r w:rsidR="00857118">
        <w:rPr>
          <w:rFonts w:asciiTheme="minorHAnsi" w:hAnsiTheme="minorHAnsi" w:cstheme="minorHAnsi"/>
          <w:color w:val="404040" w:themeColor="text1" w:themeTint="BF"/>
        </w:rPr>
        <w:t xml:space="preserve"> and any other relevant </w:t>
      </w:r>
      <w:r w:rsidR="008C3DED">
        <w:rPr>
          <w:rFonts w:asciiTheme="minorHAnsi" w:hAnsiTheme="minorHAnsi" w:cstheme="minorHAnsi"/>
          <w:color w:val="404040" w:themeColor="text1" w:themeTint="BF"/>
        </w:rPr>
        <w:t xml:space="preserve">disaggregation as required.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3203"/>
        <w:gridCol w:w="1307"/>
        <w:gridCol w:w="1664"/>
        <w:gridCol w:w="1232"/>
        <w:gridCol w:w="4521"/>
      </w:tblGrid>
      <w:tr w:rsidR="00A52428" w:rsidRPr="00302639" w14:paraId="2047F50E" w14:textId="77777777" w:rsidTr="000171E7">
        <w:trPr>
          <w:trHeight w:val="490"/>
        </w:trPr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2F632035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Intervention logic</w:t>
            </w:r>
          </w:p>
        </w:tc>
        <w:tc>
          <w:tcPr>
            <w:tcW w:w="1149" w:type="pc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  <w:vAlign w:val="center"/>
            <w:hideMark/>
          </w:tcPr>
          <w:p w14:paraId="08D758D0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Indicators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  <w:vAlign w:val="center"/>
            <w:hideMark/>
          </w:tcPr>
          <w:p w14:paraId="4876E8F2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Source of baseline data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  <w:vAlign w:val="center"/>
            <w:hideMark/>
          </w:tcPr>
          <w:p w14:paraId="14D36D66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Target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  <w:vAlign w:val="center"/>
            <w:hideMark/>
          </w:tcPr>
          <w:p w14:paraId="0E18A199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Sources of verification</w:t>
            </w:r>
          </w:p>
        </w:tc>
        <w:tc>
          <w:tcPr>
            <w:tcW w:w="1622" w:type="pct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61FC1F41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val="fr-BE" w:eastAsia="fr-BE"/>
              </w:rPr>
            </w:pPr>
            <w:r w:rsidRPr="00302639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Assumption</w:t>
            </w:r>
          </w:p>
        </w:tc>
      </w:tr>
      <w:tr w:rsidR="00A52428" w:rsidRPr="002D075A" w14:paraId="1CE6EA4F" w14:textId="77777777">
        <w:trPr>
          <w:trHeight w:val="49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1CFC7A27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</w:pPr>
            <w:r w:rsidRPr="002D075A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OUTCOME</w:t>
            </w:r>
          </w:p>
        </w:tc>
      </w:tr>
      <w:tr w:rsidR="00A52428" w:rsidRPr="002D075A" w14:paraId="5A44F902" w14:textId="77777777" w:rsidTr="000171E7">
        <w:trPr>
          <w:trHeight w:val="1680"/>
        </w:trPr>
        <w:tc>
          <w:tcPr>
            <w:tcW w:w="721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B79EC1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404040"/>
                <w:sz w:val="20"/>
                <w:szCs w:val="20"/>
                <w:u w:val="single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04040"/>
                <w:sz w:val="20"/>
                <w:szCs w:val="20"/>
                <w:u w:val="single"/>
                <w:lang w:eastAsia="fr-BE"/>
              </w:rPr>
              <w:t xml:space="preserve">Specific Objective: </w:t>
            </w: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Young women and men are better equipped to access inclusive and decent employment opportunities</w:t>
            </w:r>
          </w:p>
        </w:tc>
        <w:tc>
          <w:tcPr>
            <w:tcW w:w="114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524BF2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/>
                <w:color w:val="404040" w:themeColor="text1" w:themeTint="BF"/>
                <w:sz w:val="20"/>
                <w:szCs w:val="20"/>
                <w:lang w:eastAsia="fr-BE"/>
              </w:rPr>
              <w:t xml:space="preserve">% of beneficiary youth absorbed in the labour market six months after completing a training programme (result 1 and 2) </w:t>
            </w: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(disaggregated per sex, </w:t>
            </w:r>
            <w:proofErr w:type="gramStart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vulnerability</w:t>
            </w:r>
            <w:proofErr w:type="gramEnd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and region)</w:t>
            </w:r>
          </w:p>
        </w:tc>
        <w:tc>
          <w:tcPr>
            <w:tcW w:w="4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386A17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7F3EA4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Tracer study, (</w:t>
            </w:r>
            <w:proofErr w:type="gramStart"/>
            <w:r w:rsidRPr="007F3EA4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beneficiaries</w:t>
            </w:r>
            <w:proofErr w:type="gramEnd"/>
            <w:r w:rsidRPr="007F3EA4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registrar)</w:t>
            </w:r>
          </w:p>
        </w:tc>
        <w:tc>
          <w:tcPr>
            <w:tcW w:w="5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E1B4D6" w14:textId="7199BA63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B313EC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80%</w:t>
            </w: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beneficiary youth participating in programmes under result 1 and 2 absorbed in the labour market by end of </w:t>
            </w:r>
            <w:proofErr w:type="gramStart"/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2024</w:t>
            </w:r>
            <w:proofErr w:type="gramEnd"/>
          </w:p>
          <w:p w14:paraId="7B4AD2C3" w14:textId="6A699764" w:rsidR="00DF0733" w:rsidRPr="00B313EC" w:rsidRDefault="00DF073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  <w:tc>
          <w:tcPr>
            <w:tcW w:w="44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847DF4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Tracer study</w:t>
            </w:r>
          </w:p>
          <w:p w14:paraId="75E09789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Action research</w:t>
            </w:r>
          </w:p>
          <w:p w14:paraId="44224ED1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  <w:tc>
          <w:tcPr>
            <w:tcW w:w="16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368A74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Politic and macro-economic stability of the country and the region</w:t>
            </w:r>
          </w:p>
          <w:p w14:paraId="0E6A7EE0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26921F3C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Sufficient private sector companies capable to </w:t>
            </w:r>
            <w:r w:rsidRPr="002D075A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retain </w:t>
            </w: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or employ </w:t>
            </w:r>
            <w:r w:rsidRPr="002D075A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beneficiary youth</w:t>
            </w: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(results 1 and 2)</w:t>
            </w:r>
          </w:p>
          <w:p w14:paraId="4EC4FBB1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75F8864C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br/>
            </w:r>
          </w:p>
        </w:tc>
      </w:tr>
      <w:tr w:rsidR="00A52428" w:rsidRPr="002D075A" w14:paraId="06DB1687" w14:textId="77777777" w:rsidTr="000171E7">
        <w:trPr>
          <w:trHeight w:val="1680"/>
        </w:trPr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80FDFD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404040"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14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9C9D51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404040" w:themeColor="text1" w:themeTint="BF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% of beneficiary youth participating in the First Employment Facility and up- and reskilling training programmes obtain a recognized certificate (disaggregated per sex and region)</w:t>
            </w:r>
          </w:p>
        </w:tc>
        <w:tc>
          <w:tcPr>
            <w:tcW w:w="4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4BEE11" w14:textId="77777777" w:rsidR="00A52428" w:rsidRPr="007F3EA4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 </w:t>
            </w:r>
            <w:r w:rsidRPr="002D075A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N/A</w:t>
            </w: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</w:t>
            </w:r>
          </w:p>
        </w:tc>
        <w:tc>
          <w:tcPr>
            <w:tcW w:w="5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F8BA26" w14:textId="38AE1F22" w:rsidR="00A52428" w:rsidRPr="00B313EC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B313EC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90%</w:t>
            </w: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beneficiary youth certified by mid-2024</w:t>
            </w:r>
          </w:p>
        </w:tc>
        <w:tc>
          <w:tcPr>
            <w:tcW w:w="44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0A1195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3026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 </w:t>
            </w:r>
            <w:r w:rsidRPr="002D075A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Monitoring reports</w:t>
            </w:r>
          </w:p>
          <w:p w14:paraId="7451496F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2D075A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Assessment reports</w:t>
            </w:r>
          </w:p>
          <w:p w14:paraId="6D7B0C07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Tracer study</w:t>
            </w:r>
          </w:p>
          <w:p w14:paraId="2489472E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  <w:tc>
          <w:tcPr>
            <w:tcW w:w="16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5E0AC5" w14:textId="2579339F" w:rsidR="001E25B8" w:rsidRDefault="00A52428" w:rsidP="001E25B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The accreditation system governed by the Ministry of Labour can provide </w:t>
            </w:r>
            <w:proofErr w:type="gramStart"/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licensing</w:t>
            </w:r>
            <w:proofErr w:type="gramEnd"/>
          </w:p>
          <w:p w14:paraId="43BCF60F" w14:textId="77777777" w:rsidR="001E25B8" w:rsidRDefault="001E25B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66F4D2AF" w14:textId="77777777" w:rsidR="001E25B8" w:rsidRPr="002D075A" w:rsidRDefault="001E25B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5E575EB1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58D88E61" w14:textId="27F0DC08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</w:tr>
      <w:tr w:rsidR="00A52428" w:rsidRPr="002D075A" w14:paraId="2A1B012B" w14:textId="77777777" w:rsidTr="000171E7">
        <w:trPr>
          <w:trHeight w:val="1680"/>
        </w:trPr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BC2DF6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404040"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14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3C29C2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/>
                <w:color w:val="404040"/>
                <w:sz w:val="20"/>
                <w:szCs w:val="20"/>
                <w:lang w:eastAsia="fr-BE"/>
              </w:rPr>
              <w:t xml:space="preserve">Implementing partners provide services promoting inclusion of vulnerable youth, including youth women </w:t>
            </w:r>
          </w:p>
        </w:tc>
        <w:tc>
          <w:tcPr>
            <w:tcW w:w="46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1AC6D4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N/A</w:t>
            </w:r>
          </w:p>
        </w:tc>
        <w:tc>
          <w:tcPr>
            <w:tcW w:w="5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4A7434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All grant agreements integrate at least two services promoting social inclusion</w:t>
            </w:r>
          </w:p>
        </w:tc>
        <w:tc>
          <w:tcPr>
            <w:tcW w:w="44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058C9C8" w14:textId="77777777" w:rsidR="00A52428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Action research</w:t>
            </w:r>
          </w:p>
        </w:tc>
        <w:tc>
          <w:tcPr>
            <w:tcW w:w="162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41BDCC" w14:textId="5E35F659" w:rsidR="00A52428" w:rsidRPr="00302639" w:rsidRDefault="001E25B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The stakeholders involved in implementation are willing to collaborate on identification of standards, and development of the assessment</w:t>
            </w:r>
          </w:p>
        </w:tc>
      </w:tr>
      <w:tr w:rsidR="00A52428" w:rsidRPr="002D075A" w14:paraId="2C9B5BFD" w14:textId="77777777">
        <w:trPr>
          <w:trHeight w:val="490"/>
        </w:trPr>
        <w:tc>
          <w:tcPr>
            <w:tcW w:w="5000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2100892E" w14:textId="77777777" w:rsidR="00A52428" w:rsidRPr="002D075A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</w:pPr>
            <w:r w:rsidRPr="002D075A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fr-BE"/>
              </w:rPr>
              <w:t>OUTPUT</w:t>
            </w:r>
          </w:p>
        </w:tc>
      </w:tr>
      <w:tr w:rsidR="00A52428" w:rsidRPr="00302639" w14:paraId="435324B0" w14:textId="77777777" w:rsidTr="008E3C39">
        <w:trPr>
          <w:trHeight w:val="1210"/>
        </w:trPr>
        <w:tc>
          <w:tcPr>
            <w:tcW w:w="72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03D8E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404040"/>
                <w:sz w:val="20"/>
                <w:szCs w:val="20"/>
                <w:u w:val="single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b/>
                <w:color w:val="404040"/>
                <w:sz w:val="20"/>
                <w:szCs w:val="20"/>
                <w:u w:val="single"/>
                <w:lang w:eastAsia="fr-BE"/>
              </w:rPr>
              <w:lastRenderedPageBreak/>
              <w:t xml:space="preserve">Output 2: </w:t>
            </w: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Young women and men are equipped with demand-driven, quality skills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E63478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# of curricula developed or upgraded 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77CF2A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N/A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53437E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15 curricula developed or upgraded and accredited by end of 2022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510C51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Monitoring reports</w:t>
            </w:r>
          </w:p>
          <w:p w14:paraId="43526D92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Accreditation</w:t>
            </w:r>
          </w:p>
        </w:tc>
        <w:tc>
          <w:tcPr>
            <w:tcW w:w="16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425454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The private sector actors and TVET providers involved in the implementation are willing to </w:t>
            </w:r>
            <w:proofErr w:type="gramStart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collaborate</w:t>
            </w:r>
            <w:proofErr w:type="gramEnd"/>
          </w:p>
          <w:p w14:paraId="27A9EFA3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3D5B00E1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25DAEDAA" w14:textId="77777777" w:rsidR="00831CD2" w:rsidRDefault="00831CD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673D8836" w14:textId="5A4BB7E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Localities hosting innovation hubs are interested to extend grant agreements initiated under </w:t>
            </w:r>
            <w:r w:rsidRPr="008E3C39">
              <w:rPr>
                <w:rFonts w:asciiTheme="minorHAnsi" w:eastAsia="Times New Roman" w:hAnsiTheme="minorHAnsi" w:cstheme="minorHAnsi"/>
                <w:i/>
                <w:color w:val="404040"/>
                <w:sz w:val="20"/>
                <w:szCs w:val="20"/>
                <w:lang w:eastAsia="fr-BE"/>
              </w:rPr>
              <w:t>Skilled Young Palestine</w:t>
            </w: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</w:t>
            </w:r>
            <w:proofErr w:type="gramStart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intervention</w:t>
            </w:r>
            <w:proofErr w:type="gramEnd"/>
          </w:p>
          <w:p w14:paraId="3E9F5C9B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4AA5EB96" w14:textId="77777777" w:rsidR="00831CD2" w:rsidRDefault="00831CD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  <w:p w14:paraId="02B069C0" w14:textId="1188DD7E" w:rsidR="00A52428" w:rsidRPr="008E3C39" w:rsidRDefault="00A524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Sufficient youth g</w:t>
            </w:r>
            <w:r w:rsidRPr="008E3C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raduates and workers are</w:t>
            </w:r>
            <w:r w:rsidR="0063749C" w:rsidRPr="008E3C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#</w:t>
            </w:r>
            <w:r w:rsidRPr="008E3C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willing to participate in the training </w:t>
            </w:r>
            <w:proofErr w:type="gramStart"/>
            <w:r w:rsidRPr="008E3C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programmes</w:t>
            </w:r>
            <w:proofErr w:type="gramEnd"/>
          </w:p>
          <w:p w14:paraId="44D58A25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218B67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E3C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Communities support graduates’ participation</w:t>
            </w:r>
          </w:p>
          <w:p w14:paraId="54EDD6B8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</w:tr>
      <w:tr w:rsidR="00A52428" w:rsidRPr="00302639" w14:paraId="61CF0ECD" w14:textId="77777777" w:rsidTr="008E3C39">
        <w:trPr>
          <w:trHeight w:val="1210"/>
        </w:trPr>
        <w:tc>
          <w:tcPr>
            <w:tcW w:w="72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35797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404040"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1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342C05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# of trainers trained on new or upgraded curricula 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89B8CB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N/A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83430D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30 trainers trained by Q2, 2023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B01494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Monitoring and training reports</w:t>
            </w:r>
          </w:p>
        </w:tc>
        <w:tc>
          <w:tcPr>
            <w:tcW w:w="16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1236D9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</w:tr>
      <w:tr w:rsidR="00A52428" w:rsidRPr="00302639" w14:paraId="11CA3310" w14:textId="77777777" w:rsidTr="008E3C39">
        <w:trPr>
          <w:trHeight w:val="1210"/>
        </w:trPr>
        <w:tc>
          <w:tcPr>
            <w:tcW w:w="72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7C4EF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404040"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1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AE556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# of youth graduates and workers participating in up- and reskilling programmes (disaggregated per sex, </w:t>
            </w:r>
            <w:proofErr w:type="gramStart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vulnerability</w:t>
            </w:r>
            <w:proofErr w:type="gramEnd"/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and region)</w:t>
            </w:r>
          </w:p>
        </w:tc>
        <w:tc>
          <w:tcPr>
            <w:tcW w:w="4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CCC5EB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N/A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1B29F" w14:textId="66D3572A" w:rsidR="00A52428" w:rsidRPr="008E3C39" w:rsidRDefault="00B560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4</w:t>
            </w:r>
            <w:r w:rsidR="00A52428"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50 (</w:t>
            </w:r>
            <w:proofErr w:type="spellStart"/>
            <w:r w:rsidR="00A52428"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>incl</w:t>
            </w:r>
            <w:proofErr w:type="spellEnd"/>
            <w:r w:rsidR="00A52428"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 50% vulnerable youth and 40% youth women) have participated in training by mid-2024</w:t>
            </w:r>
          </w:p>
        </w:tc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46F7" w14:textId="77777777" w:rsidR="00A52428" w:rsidRPr="008E3C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  <w:r w:rsidRPr="008E3C39"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  <w:t xml:space="preserve">Monitoring and training reports </w:t>
            </w:r>
          </w:p>
        </w:tc>
        <w:tc>
          <w:tcPr>
            <w:tcW w:w="1622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55D53" w14:textId="77777777" w:rsidR="00A52428" w:rsidRPr="00302639" w:rsidRDefault="00A524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404040"/>
                <w:sz w:val="20"/>
                <w:szCs w:val="20"/>
                <w:lang w:eastAsia="fr-BE"/>
              </w:rPr>
            </w:pPr>
          </w:p>
        </w:tc>
      </w:tr>
    </w:tbl>
    <w:p w14:paraId="0CEB5498" w14:textId="77777777" w:rsidR="00A52428" w:rsidRDefault="00A52428" w:rsidP="00A52428">
      <w:pPr>
        <w:spacing w:line="240" w:lineRule="auto"/>
        <w:rPr>
          <w:i/>
          <w:iCs/>
        </w:rPr>
      </w:pPr>
    </w:p>
    <w:p w14:paraId="3B1901D8" w14:textId="77777777" w:rsidR="00A52428" w:rsidRDefault="00A52428" w:rsidP="00A52428">
      <w:pPr>
        <w:spacing w:line="240" w:lineRule="auto"/>
        <w:rPr>
          <w:i/>
          <w:iCs/>
        </w:rPr>
      </w:pPr>
    </w:p>
    <w:p w14:paraId="49687EE7" w14:textId="77777777" w:rsidR="00A52428" w:rsidRDefault="00A52428" w:rsidP="00A52428">
      <w:pPr>
        <w:spacing w:line="240" w:lineRule="auto"/>
        <w:rPr>
          <w:i/>
          <w:iCs/>
        </w:rPr>
      </w:pPr>
    </w:p>
    <w:p w14:paraId="48D9500A" w14:textId="77777777" w:rsidR="00A52428" w:rsidRDefault="00A52428" w:rsidP="00A52428">
      <w:pPr>
        <w:spacing w:line="240" w:lineRule="auto"/>
        <w:rPr>
          <w:i/>
          <w:iCs/>
        </w:rPr>
      </w:pPr>
    </w:p>
    <w:p w14:paraId="44EBBFDF" w14:textId="77777777" w:rsidR="00AE6FF7" w:rsidRDefault="00AE6FF7"/>
    <w:sectPr w:rsidR="00AE6FF7" w:rsidSect="00A524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89B5" w14:textId="77777777" w:rsidR="00AA47A7" w:rsidRDefault="00AA47A7" w:rsidP="00A52428">
      <w:pPr>
        <w:spacing w:after="0" w:line="240" w:lineRule="auto"/>
      </w:pPr>
      <w:r>
        <w:separator/>
      </w:r>
    </w:p>
  </w:endnote>
  <w:endnote w:type="continuationSeparator" w:id="0">
    <w:p w14:paraId="256F1C7E" w14:textId="77777777" w:rsidR="00AA47A7" w:rsidRDefault="00AA47A7" w:rsidP="00A52428">
      <w:pPr>
        <w:spacing w:after="0" w:line="240" w:lineRule="auto"/>
      </w:pPr>
      <w:r>
        <w:continuationSeparator/>
      </w:r>
    </w:p>
  </w:endnote>
  <w:endnote w:type="continuationNotice" w:id="1">
    <w:p w14:paraId="7B1426AE" w14:textId="77777777" w:rsidR="00AA47A7" w:rsidRDefault="00AA4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A2BA" w14:textId="77777777" w:rsidR="00AA47A7" w:rsidRDefault="00AA47A7" w:rsidP="00A52428">
      <w:pPr>
        <w:spacing w:after="0" w:line="240" w:lineRule="auto"/>
      </w:pPr>
      <w:r>
        <w:separator/>
      </w:r>
    </w:p>
  </w:footnote>
  <w:footnote w:type="continuationSeparator" w:id="0">
    <w:p w14:paraId="324DD9CE" w14:textId="77777777" w:rsidR="00AA47A7" w:rsidRDefault="00AA47A7" w:rsidP="00A52428">
      <w:pPr>
        <w:spacing w:after="0" w:line="240" w:lineRule="auto"/>
      </w:pPr>
      <w:r>
        <w:continuationSeparator/>
      </w:r>
    </w:p>
  </w:footnote>
  <w:footnote w:type="continuationNotice" w:id="1">
    <w:p w14:paraId="55038AA9" w14:textId="77777777" w:rsidR="00AA47A7" w:rsidRDefault="00AA47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CC2"/>
    <w:multiLevelType w:val="multilevel"/>
    <w:tmpl w:val="0DE456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6051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28"/>
    <w:rsid w:val="00007C0E"/>
    <w:rsid w:val="000171E7"/>
    <w:rsid w:val="00097EEC"/>
    <w:rsid w:val="000B04E4"/>
    <w:rsid w:val="000E6E2A"/>
    <w:rsid w:val="00116B00"/>
    <w:rsid w:val="00120AAA"/>
    <w:rsid w:val="00160E02"/>
    <w:rsid w:val="001B0305"/>
    <w:rsid w:val="001B2E13"/>
    <w:rsid w:val="001E25B8"/>
    <w:rsid w:val="002B0269"/>
    <w:rsid w:val="00310CEB"/>
    <w:rsid w:val="003555B2"/>
    <w:rsid w:val="0038392E"/>
    <w:rsid w:val="00414A87"/>
    <w:rsid w:val="004610D6"/>
    <w:rsid w:val="00486C16"/>
    <w:rsid w:val="004C48BD"/>
    <w:rsid w:val="004C7798"/>
    <w:rsid w:val="00501C83"/>
    <w:rsid w:val="0056067E"/>
    <w:rsid w:val="005A240A"/>
    <w:rsid w:val="005C5D3E"/>
    <w:rsid w:val="006059A2"/>
    <w:rsid w:val="0063749C"/>
    <w:rsid w:val="00721584"/>
    <w:rsid w:val="00743D14"/>
    <w:rsid w:val="007F7473"/>
    <w:rsid w:val="00801149"/>
    <w:rsid w:val="00831CD2"/>
    <w:rsid w:val="00857118"/>
    <w:rsid w:val="00865101"/>
    <w:rsid w:val="00887C42"/>
    <w:rsid w:val="008C3DED"/>
    <w:rsid w:val="008E3C39"/>
    <w:rsid w:val="008F4667"/>
    <w:rsid w:val="0091049F"/>
    <w:rsid w:val="00961FB3"/>
    <w:rsid w:val="009B2897"/>
    <w:rsid w:val="009C3CDE"/>
    <w:rsid w:val="009C6E1C"/>
    <w:rsid w:val="009E3788"/>
    <w:rsid w:val="00A32648"/>
    <w:rsid w:val="00A52428"/>
    <w:rsid w:val="00A64B07"/>
    <w:rsid w:val="00AA47A7"/>
    <w:rsid w:val="00AC6161"/>
    <w:rsid w:val="00AE6FF7"/>
    <w:rsid w:val="00B17A70"/>
    <w:rsid w:val="00B318A4"/>
    <w:rsid w:val="00B56025"/>
    <w:rsid w:val="00B74B7A"/>
    <w:rsid w:val="00BB5AB6"/>
    <w:rsid w:val="00BD6FF2"/>
    <w:rsid w:val="00C33B26"/>
    <w:rsid w:val="00CA7A19"/>
    <w:rsid w:val="00CD7BDB"/>
    <w:rsid w:val="00CF779C"/>
    <w:rsid w:val="00D24DD5"/>
    <w:rsid w:val="00DF0733"/>
    <w:rsid w:val="00E54EA1"/>
    <w:rsid w:val="00EA62A7"/>
    <w:rsid w:val="00EB781C"/>
    <w:rsid w:val="00EC56E4"/>
    <w:rsid w:val="00EC7CAB"/>
    <w:rsid w:val="00EF78E7"/>
    <w:rsid w:val="00F04A0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8834"/>
  <w15:chartTrackingRefBased/>
  <w15:docId w15:val="{00F028D8-BDD4-4099-85A0-61F77437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28"/>
    <w:pPr>
      <w:spacing w:line="276" w:lineRule="auto"/>
    </w:pPr>
    <w:rPr>
      <w:rFonts w:ascii="Georgia" w:hAnsi="Georgia"/>
      <w:color w:val="585756"/>
      <w:sz w:val="21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A52428"/>
    <w:pPr>
      <w:numPr>
        <w:numId w:val="1"/>
      </w:numPr>
      <w:shd w:val="clear" w:color="auto" w:fill="D81A1C"/>
      <w:autoSpaceDE w:val="0"/>
      <w:autoSpaceDN w:val="0"/>
      <w:adjustRightInd w:val="0"/>
      <w:spacing w:before="240" w:after="240"/>
      <w:outlineLvl w:val="0"/>
    </w:pPr>
    <w:rPr>
      <w:rFonts w:asciiTheme="minorHAnsi" w:hAnsiTheme="minorHAnsi" w:cstheme="minorHAnsi"/>
      <w:b/>
      <w:color w:val="FFFFFF" w:themeColor="background1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A52428"/>
    <w:pPr>
      <w:keepNext/>
      <w:keepLines/>
      <w:numPr>
        <w:ilvl w:val="1"/>
        <w:numId w:val="1"/>
      </w:numPr>
      <w:spacing w:before="360" w:after="120" w:line="240" w:lineRule="auto"/>
      <w:outlineLvl w:val="1"/>
    </w:pPr>
    <w:rPr>
      <w:rFonts w:ascii="Calibri" w:eastAsiaTheme="majorEastAsia" w:hAnsi="Calibri" w:cstheme="majorBidi"/>
      <w:b/>
      <w:color w:val="D81A1A"/>
      <w:sz w:val="28"/>
      <w:szCs w:val="26"/>
    </w:rPr>
  </w:style>
  <w:style w:type="paragraph" w:styleId="Heading3">
    <w:name w:val="heading 3"/>
    <w:aliases w:val="Title 3"/>
    <w:basedOn w:val="ListParagraph"/>
    <w:next w:val="Normal"/>
    <w:link w:val="Heading3Char"/>
    <w:uiPriority w:val="9"/>
    <w:unhideWhenUsed/>
    <w:qFormat/>
    <w:rsid w:val="00A52428"/>
    <w:pPr>
      <w:numPr>
        <w:ilvl w:val="2"/>
        <w:numId w:val="1"/>
      </w:numPr>
      <w:autoSpaceDE w:val="0"/>
      <w:autoSpaceDN w:val="0"/>
      <w:adjustRightInd w:val="0"/>
      <w:spacing w:before="240" w:after="240" w:line="240" w:lineRule="auto"/>
      <w:outlineLvl w:val="2"/>
    </w:pPr>
    <w:rPr>
      <w:rFonts w:ascii="Calibri" w:hAnsi="Calibri" w:cs="Calibri-Bold"/>
      <w:b/>
      <w:bCs/>
      <w:color w:val="auto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A52428"/>
    <w:pPr>
      <w:keepNext/>
      <w:keepLines/>
      <w:numPr>
        <w:ilvl w:val="3"/>
        <w:numId w:val="1"/>
      </w:numPr>
      <w:spacing w:before="60" w:after="60"/>
      <w:outlineLvl w:val="3"/>
    </w:pPr>
    <w:rPr>
      <w:rFonts w:asciiTheme="minorHAnsi" w:eastAsiaTheme="majorEastAsia" w:hAnsiTheme="minorHAnsi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A52428"/>
    <w:pPr>
      <w:keepNext/>
      <w:numPr>
        <w:ilvl w:val="4"/>
        <w:numId w:val="1"/>
      </w:numPr>
      <w:spacing w:after="113"/>
      <w:outlineLvl w:val="4"/>
    </w:pPr>
    <w:rPr>
      <w:rFonts w:eastAsia="Arial Unicode MS"/>
      <w:bCs/>
      <w:sz w:val="18"/>
      <w:szCs w:val="18"/>
    </w:rPr>
  </w:style>
  <w:style w:type="paragraph" w:styleId="Heading6">
    <w:name w:val="heading 6"/>
    <w:aliases w:val="IC - TI Encadré,IE - TI encadré"/>
    <w:basedOn w:val="Normal"/>
    <w:next w:val="Normal"/>
    <w:link w:val="Heading6Char"/>
    <w:unhideWhenUsed/>
    <w:qFormat/>
    <w:rsid w:val="00A524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fr-BE"/>
    </w:rPr>
  </w:style>
  <w:style w:type="paragraph" w:styleId="Heading7">
    <w:name w:val="heading 7"/>
    <w:aliases w:val="centré 12,TI"/>
    <w:basedOn w:val="Normal"/>
    <w:next w:val="Normal"/>
    <w:link w:val="Heading7Char"/>
    <w:unhideWhenUsed/>
    <w:qFormat/>
    <w:rsid w:val="00A524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fr-BE"/>
    </w:rPr>
  </w:style>
  <w:style w:type="paragraph" w:styleId="Heading8">
    <w:name w:val="heading 8"/>
    <w:aliases w:val="TE - énumération dans TI"/>
    <w:basedOn w:val="Normal"/>
    <w:next w:val="Normal"/>
    <w:link w:val="Heading8Char"/>
    <w:unhideWhenUsed/>
    <w:qFormat/>
    <w:rsid w:val="00A524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rsid w:val="00A52428"/>
    <w:rPr>
      <w:rFonts w:cstheme="minorHAnsi"/>
      <w:b/>
      <w:color w:val="FFFFFF" w:themeColor="background1"/>
      <w:sz w:val="32"/>
      <w:szCs w:val="32"/>
      <w:shd w:val="clear" w:color="auto" w:fill="D81A1C"/>
    </w:rPr>
  </w:style>
  <w:style w:type="character" w:customStyle="1" w:styleId="Heading2Char">
    <w:name w:val="Heading 2 Char"/>
    <w:aliases w:val="Title 2 Char"/>
    <w:basedOn w:val="DefaultParagraphFont"/>
    <w:link w:val="Heading2"/>
    <w:rsid w:val="00A52428"/>
    <w:rPr>
      <w:rFonts w:ascii="Calibri" w:eastAsiaTheme="majorEastAsia" w:hAnsi="Calibri" w:cstheme="majorBidi"/>
      <w:b/>
      <w:color w:val="D81A1A"/>
      <w:sz w:val="28"/>
      <w:szCs w:val="26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A52428"/>
    <w:rPr>
      <w:rFonts w:ascii="Calibri" w:hAnsi="Calibri" w:cs="Calibri-Bold"/>
      <w:b/>
      <w:bCs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rsid w:val="00A52428"/>
    <w:rPr>
      <w:rFonts w:eastAsiaTheme="majorEastAsia" w:cstheme="majorBidi"/>
      <w:b/>
      <w:iCs/>
      <w:color w:val="585756"/>
      <w:sz w:val="21"/>
    </w:rPr>
  </w:style>
  <w:style w:type="character" w:customStyle="1" w:styleId="Heading5Char">
    <w:name w:val="Heading 5 Char"/>
    <w:basedOn w:val="DefaultParagraphFont"/>
    <w:link w:val="Heading5"/>
    <w:rsid w:val="00A52428"/>
    <w:rPr>
      <w:rFonts w:ascii="Georgia" w:eastAsia="Arial Unicode MS" w:hAnsi="Georgia"/>
      <w:bCs/>
      <w:color w:val="585756"/>
      <w:sz w:val="18"/>
      <w:szCs w:val="18"/>
    </w:rPr>
  </w:style>
  <w:style w:type="character" w:customStyle="1" w:styleId="Heading6Char">
    <w:name w:val="Heading 6 Char"/>
    <w:aliases w:val="IC - TI Encadré Char,IE - TI encadré Char"/>
    <w:basedOn w:val="DefaultParagraphFont"/>
    <w:link w:val="Heading6"/>
    <w:rsid w:val="00A52428"/>
    <w:rPr>
      <w:rFonts w:asciiTheme="majorHAnsi" w:eastAsiaTheme="majorEastAsia" w:hAnsiTheme="majorHAnsi" w:cstheme="majorBidi"/>
      <w:color w:val="1F3763" w:themeColor="accent1" w:themeShade="7F"/>
      <w:sz w:val="21"/>
      <w:lang w:val="fr-BE"/>
    </w:rPr>
  </w:style>
  <w:style w:type="character" w:customStyle="1" w:styleId="Heading7Char">
    <w:name w:val="Heading 7 Char"/>
    <w:aliases w:val="centré 12 Char,TI Char"/>
    <w:basedOn w:val="DefaultParagraphFont"/>
    <w:link w:val="Heading7"/>
    <w:rsid w:val="00A52428"/>
    <w:rPr>
      <w:rFonts w:asciiTheme="majorHAnsi" w:eastAsiaTheme="majorEastAsia" w:hAnsiTheme="majorHAnsi" w:cstheme="majorBidi"/>
      <w:i/>
      <w:iCs/>
      <w:color w:val="1F3763" w:themeColor="accent1" w:themeShade="7F"/>
      <w:sz w:val="21"/>
      <w:lang w:val="fr-BE"/>
    </w:rPr>
  </w:style>
  <w:style w:type="character" w:customStyle="1" w:styleId="Heading8Char">
    <w:name w:val="Heading 8 Char"/>
    <w:aliases w:val="TE - énumération dans TI Char"/>
    <w:basedOn w:val="DefaultParagraphFont"/>
    <w:link w:val="Heading8"/>
    <w:rsid w:val="00A524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paragraph" w:customStyle="1" w:styleId="CTBCorpsdetexte">
    <w:name w:val="CTB Corps de texte"/>
    <w:basedOn w:val="Normal"/>
    <w:link w:val="CTBCorpsdetexteChar"/>
    <w:qFormat/>
    <w:rsid w:val="00A52428"/>
    <w:pPr>
      <w:widowControl w:val="0"/>
      <w:spacing w:after="120"/>
    </w:pPr>
  </w:style>
  <w:style w:type="paragraph" w:styleId="FootnoteText">
    <w:name w:val="footnote text"/>
    <w:aliases w:val="12pt,FOOTNOTES,fn,single space,Footnote Text Char Char Char Char Char,Footnote Text Char Char Char Char,Footnote Text Char Char Char,Fußnotentextf,ADB,Footnote Text Char1 Char1,Testo nota a piè di pagina Carattere,ft,f,Char,CTB Bas de page"/>
    <w:basedOn w:val="Normal"/>
    <w:link w:val="FootnoteTextChar"/>
    <w:uiPriority w:val="99"/>
    <w:unhideWhenUsed/>
    <w:qFormat/>
    <w:rsid w:val="00A52428"/>
    <w:pPr>
      <w:spacing w:after="0" w:line="240" w:lineRule="auto"/>
    </w:pPr>
    <w:rPr>
      <w:rFonts w:ascii="Calibri" w:hAnsi="Calibri"/>
      <w:sz w:val="14"/>
      <w:szCs w:val="20"/>
      <w:lang w:val="fr-BE"/>
    </w:rPr>
  </w:style>
  <w:style w:type="character" w:customStyle="1" w:styleId="FootnoteTextChar">
    <w:name w:val="Footnote Text Char"/>
    <w:aliases w:val="12pt Char,FOOTNOTES Char,fn Char,single space Char,Footnote Text Char Char Char Char Char Char,Footnote Text Char Char Char Char Char1,Footnote Text Char Char Char Char1,Fußnotentextf Char,ADB Char,Footnote Text Char1 Char1 Char"/>
    <w:basedOn w:val="DefaultParagraphFont"/>
    <w:link w:val="FootnoteText"/>
    <w:uiPriority w:val="99"/>
    <w:qFormat/>
    <w:rsid w:val="00A52428"/>
    <w:rPr>
      <w:rFonts w:ascii="Calibri" w:hAnsi="Calibri"/>
      <w:color w:val="585756"/>
      <w:sz w:val="14"/>
      <w:szCs w:val="20"/>
      <w:lang w:val="fr-BE"/>
    </w:rPr>
  </w:style>
  <w:style w:type="character" w:styleId="FootnoteReference">
    <w:name w:val="footnote reference"/>
    <w:aliases w:val="ftref,BVI fnr,Ref,de nota al pie,16 Point,Superscript 6 Point,Знак сноски 1,Знак сноски-FN,Ciae niinee-FN,Car Car,Error-Fußnotenzeichen5,Error-Fußnotenzeichen6,Error-Fußnotenzeichen3,Footnote Reference1,Footnote Reference Number,fr"/>
    <w:link w:val="Char2"/>
    <w:uiPriority w:val="99"/>
    <w:qFormat/>
    <w:rsid w:val="00A52428"/>
    <w:rPr>
      <w:vertAlign w:val="superscript"/>
    </w:rPr>
  </w:style>
  <w:style w:type="character" w:customStyle="1" w:styleId="CTBCorpsdetexteChar">
    <w:name w:val="CTB Corps de texte Char"/>
    <w:link w:val="CTBCorpsdetexte"/>
    <w:locked/>
    <w:rsid w:val="00A52428"/>
    <w:rPr>
      <w:rFonts w:ascii="Georgia" w:hAnsi="Georgia"/>
      <w:color w:val="585756"/>
      <w:sz w:val="21"/>
    </w:rPr>
  </w:style>
  <w:style w:type="paragraph" w:customStyle="1" w:styleId="Char2">
    <w:name w:val="Char2"/>
    <w:basedOn w:val="Normal"/>
    <w:link w:val="FootnoteReference"/>
    <w:uiPriority w:val="99"/>
    <w:rsid w:val="00A52428"/>
    <w:pPr>
      <w:spacing w:line="240" w:lineRule="exact"/>
    </w:pPr>
    <w:rPr>
      <w:rFonts w:asciiTheme="minorHAnsi" w:hAnsiTheme="minorHAnsi"/>
      <w:color w:val="auto"/>
      <w:sz w:val="22"/>
      <w:vertAlign w:val="superscript"/>
    </w:rPr>
  </w:style>
  <w:style w:type="character" w:styleId="Strong">
    <w:name w:val="Strong"/>
    <w:basedOn w:val="DefaultParagraphFont"/>
    <w:uiPriority w:val="22"/>
    <w:qFormat/>
    <w:rsid w:val="00A52428"/>
    <w:rPr>
      <w:b/>
      <w:bCs/>
    </w:rPr>
  </w:style>
  <w:style w:type="paragraph" w:styleId="ListParagraph">
    <w:name w:val="List Paragraph"/>
    <w:basedOn w:val="Normal"/>
    <w:uiPriority w:val="34"/>
    <w:qFormat/>
    <w:rsid w:val="00A5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4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B07"/>
    <w:rPr>
      <w:rFonts w:ascii="Georgia" w:hAnsi="Georgia"/>
      <w:color w:val="585756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A64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B07"/>
    <w:rPr>
      <w:rFonts w:ascii="Georgia" w:hAnsi="Georgia"/>
      <w:color w:val="585756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A6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2A7"/>
    <w:rPr>
      <w:rFonts w:ascii="Georgia" w:hAnsi="Georgia"/>
      <w:color w:val="58575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2A7"/>
    <w:rPr>
      <w:rFonts w:ascii="Georgia" w:hAnsi="Georgia"/>
      <w:b/>
      <w:bCs/>
      <w:color w:val="585756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5A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023f6-713b-470d-9943-953a179bdfad" xsi:nil="true"/>
    <lcf76f155ced4ddcb4097134ff3c332f xmlns="2a1036a5-326a-4566-90cd-56221320f0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D67BF7932B84EA0CDC264127741F8" ma:contentTypeVersion="19" ma:contentTypeDescription="Create a new document." ma:contentTypeScope="" ma:versionID="e7ea0d512612b28cfe2996840f590a1b">
  <xsd:schema xmlns:xsd="http://www.w3.org/2001/XMLSchema" xmlns:xs="http://www.w3.org/2001/XMLSchema" xmlns:p="http://schemas.microsoft.com/office/2006/metadata/properties" xmlns:ns1="http://schemas.microsoft.com/sharepoint/v3" xmlns:ns2="2a1036a5-326a-4566-90cd-56221320f0e9" xmlns:ns3="522023f6-713b-470d-9943-953a179bdfad" targetNamespace="http://schemas.microsoft.com/office/2006/metadata/properties" ma:root="true" ma:fieldsID="ddc8ca3303ee120d83ec5df9f7c6377d" ns1:_="" ns2:_="" ns3:_="">
    <xsd:import namespace="http://schemas.microsoft.com/sharepoint/v3"/>
    <xsd:import namespace="2a1036a5-326a-4566-90cd-56221320f0e9"/>
    <xsd:import namespace="522023f6-713b-470d-9943-953a179bd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36a5-326a-4566-90cd-56221320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023f6-713b-470d-9943-953a179bd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23418de-6ce9-44ee-87e2-303fa59ff43e}" ma:internalName="TaxCatchAll" ma:showField="CatchAllData" ma:web="522023f6-713b-470d-9943-953a179bd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EF5F0-6886-4960-91CE-96978D29FDFB}">
  <ds:schemaRefs>
    <ds:schemaRef ds:uri="http://schemas.microsoft.com/office/2006/metadata/properties"/>
    <ds:schemaRef ds:uri="http://schemas.microsoft.com/office/infopath/2007/PartnerControls"/>
    <ds:schemaRef ds:uri="522023f6-713b-470d-9943-953a179bdfad"/>
    <ds:schemaRef ds:uri="2a1036a5-326a-4566-90cd-56221320f0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FC08F1-0464-49B3-8B6D-3C8178487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6ADD4-4CE1-451B-8660-F98A50329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036a5-326a-4566-90cd-56221320f0e9"/>
    <ds:schemaRef ds:uri="522023f6-713b-470d-9943-953a179bd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GHYSELEN, Shari</dc:creator>
  <cp:keywords/>
  <dc:description/>
  <cp:lastModifiedBy>VAN DEN BOOGERT, Bartelijne</cp:lastModifiedBy>
  <cp:revision>2</cp:revision>
  <dcterms:created xsi:type="dcterms:W3CDTF">2023-05-08T09:39:00Z</dcterms:created>
  <dcterms:modified xsi:type="dcterms:W3CDTF">2023-05-08T09:39:00Z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0x01010026BD67BF7932B84EA0CDC264127741F8</vt:lpwstr>
  </property>
  <property fmtid="{D5CDD505-2E9C-101B-9397-08002B2CF9AE}" pid="3" name="MediaServiceImageTags">
    <vt:lpwstr/>
  </property>
</Properties>
</file>